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86AF5" w14:textId="0B0B2570" w:rsidR="004F22D2" w:rsidRPr="004F22D2" w:rsidRDefault="004F22D2" w:rsidP="004F22D2">
      <w:pPr>
        <w:jc w:val="center"/>
      </w:pPr>
      <w:r>
        <w:rPr>
          <w:noProof/>
          <w:lang w:eastAsia="en-AU"/>
        </w:rPr>
        <w:drawing>
          <wp:inline distT="0" distB="0" distL="0" distR="0" wp14:anchorId="45A7FE9F" wp14:editId="67E07E6F">
            <wp:extent cx="2170176" cy="969264"/>
            <wp:effectExtent l="0" t="0" r="1905" b="2540"/>
            <wp:docPr id="2" name="Picture 2" descr="Australian Government Department of Jobs and Small Business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t Jobs and Small Business_Stack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176" cy="96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DC6AC" w14:textId="6A76A5ED" w:rsidR="000C68A1" w:rsidRPr="00736535" w:rsidRDefault="005A391B" w:rsidP="00736535">
      <w:pPr>
        <w:pStyle w:val="Title"/>
      </w:pPr>
      <w:bookmarkStart w:id="0" w:name="_GoBack"/>
      <w:r w:rsidRPr="00736535">
        <w:t>Good Practice in Socially Responsible Restructuring</w:t>
      </w:r>
    </w:p>
    <w:bookmarkEnd w:id="0"/>
    <w:p w14:paraId="56A6B045" w14:textId="0736DB2A" w:rsidR="00FF4D29" w:rsidRPr="003210C5" w:rsidRDefault="001B0F96">
      <w:r w:rsidRPr="003210C5">
        <w:t xml:space="preserve">This Good Practice guide stems from </w:t>
      </w:r>
      <w:r w:rsidR="005A391B" w:rsidRPr="003210C5">
        <w:t>a report</w:t>
      </w:r>
      <w:r w:rsidRPr="003210C5">
        <w:t xml:space="preserve"> that</w:t>
      </w:r>
      <w:r w:rsidR="005A391B" w:rsidRPr="003210C5">
        <w:t xml:space="preserve"> was provided </w:t>
      </w:r>
      <w:r w:rsidR="0011535B" w:rsidRPr="003210C5">
        <w:t xml:space="preserve">by the independent National Automotive Facilitator </w:t>
      </w:r>
      <w:r w:rsidR="005A391B" w:rsidRPr="003210C5">
        <w:t>to the National Governance Committee</w:t>
      </w:r>
      <w:r w:rsidR="00640D2C" w:rsidRPr="003210C5">
        <w:t>, the governance body</w:t>
      </w:r>
      <w:r w:rsidR="005A391B" w:rsidRPr="003210C5">
        <w:t xml:space="preserve"> overseeing the</w:t>
      </w:r>
      <w:r w:rsidR="00640D2C" w:rsidRPr="003210C5">
        <w:t xml:space="preserve"> transition assistance</w:t>
      </w:r>
      <w:r w:rsidR="005A391B" w:rsidRPr="003210C5">
        <w:t xml:space="preserve"> for retrenched automotive manufacturing workers in</w:t>
      </w:r>
      <w:r w:rsidR="00640D2C" w:rsidRPr="003210C5">
        <w:t xml:space="preserve"> Australia</w:t>
      </w:r>
      <w:r w:rsidR="005A391B" w:rsidRPr="003210C5">
        <w:t xml:space="preserve">. </w:t>
      </w:r>
      <w:r w:rsidR="005A5770">
        <w:t xml:space="preserve">This advice </w:t>
      </w:r>
      <w:r w:rsidR="005A391B" w:rsidRPr="003210C5">
        <w:t>reflect</w:t>
      </w:r>
      <w:r w:rsidR="005A5770">
        <w:t>s</w:t>
      </w:r>
      <w:r w:rsidR="005A391B" w:rsidRPr="003210C5">
        <w:t xml:space="preserve"> on the approaches taken by stakeholders and </w:t>
      </w:r>
      <w:r w:rsidR="00FF4D29" w:rsidRPr="003210C5">
        <w:t>provide</w:t>
      </w:r>
      <w:r w:rsidR="005A5770">
        <w:t>s</w:t>
      </w:r>
      <w:r w:rsidR="00FF4D29" w:rsidRPr="003210C5">
        <w:t xml:space="preserve"> what may be considered</w:t>
      </w:r>
      <w:r w:rsidR="005A391B" w:rsidRPr="003210C5">
        <w:t xml:space="preserve"> a blueprint for good practice in socially responsible restructuring</w:t>
      </w:r>
      <w:r w:rsidR="00FF4D29" w:rsidRPr="003210C5">
        <w:t xml:space="preserve">. </w:t>
      </w:r>
    </w:p>
    <w:p w14:paraId="47CC2853" w14:textId="77777777" w:rsidR="005351E5" w:rsidRPr="004F3C92" w:rsidRDefault="005351E5" w:rsidP="008C04C6">
      <w:pPr>
        <w:pStyle w:val="Heading1"/>
      </w:pPr>
      <w:r w:rsidRPr="004F3C92">
        <w:t xml:space="preserve">How to be </w:t>
      </w:r>
      <w:r w:rsidRPr="008C04C6">
        <w:t>socially</w:t>
      </w:r>
      <w:r w:rsidRPr="004F3C92">
        <w:t xml:space="preserve"> responsible when restructuring?</w:t>
      </w:r>
    </w:p>
    <w:p w14:paraId="5E7B717E" w14:textId="77777777" w:rsidR="00575F31" w:rsidRDefault="00575F31">
      <w:r w:rsidRPr="004229CC">
        <w:t xml:space="preserve">Socially responsible restructuring can transform a </w:t>
      </w:r>
      <w:r>
        <w:t>stressful</w:t>
      </w:r>
      <w:r w:rsidRPr="004229CC">
        <w:t xml:space="preserve"> experience into a positive career transition for </w:t>
      </w:r>
      <w:r>
        <w:t>workers</w:t>
      </w:r>
      <w:r w:rsidRPr="004229CC">
        <w:t xml:space="preserve">. </w:t>
      </w:r>
    </w:p>
    <w:p w14:paraId="4D570A09" w14:textId="4E02F6D7" w:rsidR="003210C5" w:rsidRDefault="00B43F13">
      <w:r>
        <w:t>This</w:t>
      </w:r>
      <w:r w:rsidR="005351E5">
        <w:t xml:space="preserve"> </w:t>
      </w:r>
      <w:r w:rsidR="00692A32">
        <w:t>Good Practice guide</w:t>
      </w:r>
      <w:r w:rsidR="005351E5">
        <w:t xml:space="preserve"> highligh</w:t>
      </w:r>
      <w:r w:rsidR="008C5DF3">
        <w:t>ts four</w:t>
      </w:r>
      <w:r w:rsidR="006F54CE">
        <w:t xml:space="preserve"> broad themes employers can draw upon to guide them and their </w:t>
      </w:r>
      <w:r w:rsidR="00692A32">
        <w:t>workers</w:t>
      </w:r>
      <w:r w:rsidR="006F54CE">
        <w:t xml:space="preserve"> through the transition process</w:t>
      </w:r>
      <w:r w:rsidR="00207E01">
        <w:t xml:space="preserve"> in a socially responsible manner</w:t>
      </w:r>
      <w:r w:rsidR="006F54CE">
        <w:t>.</w:t>
      </w:r>
      <w:r w:rsidR="003210C5">
        <w:t xml:space="preserve"> The themes underpinning good practice in socially responsible restructuring are: </w:t>
      </w:r>
    </w:p>
    <w:p w14:paraId="02D8AF4F" w14:textId="07AF43DE" w:rsidR="003210C5" w:rsidRPr="008C04C6" w:rsidRDefault="004F29DC" w:rsidP="008C04C6">
      <w:pPr>
        <w:pStyle w:val="ListParagraph"/>
      </w:pPr>
      <w:r w:rsidRPr="008C04C6">
        <w:t>r</w:t>
      </w:r>
      <w:r w:rsidR="00B43F13" w:rsidRPr="008C04C6">
        <w:t xml:space="preserve">egular </w:t>
      </w:r>
      <w:r w:rsidR="00692A32" w:rsidRPr="008C04C6">
        <w:t>i</w:t>
      </w:r>
      <w:r w:rsidR="003210C5" w:rsidRPr="008C04C6">
        <w:t>nformation and ongoing support</w:t>
      </w:r>
    </w:p>
    <w:p w14:paraId="240CB7BF" w14:textId="72938192" w:rsidR="003210C5" w:rsidRPr="008C04C6" w:rsidRDefault="00692A32" w:rsidP="008C04C6">
      <w:pPr>
        <w:pStyle w:val="ListParagraph"/>
      </w:pPr>
      <w:r w:rsidRPr="008C04C6">
        <w:t>career and t</w:t>
      </w:r>
      <w:r w:rsidR="003210C5" w:rsidRPr="008C04C6">
        <w:t>raining</w:t>
      </w:r>
      <w:r w:rsidR="002B4132" w:rsidRPr="008C04C6">
        <w:t xml:space="preserve"> options</w:t>
      </w:r>
      <w:r w:rsidR="003210C5" w:rsidRPr="008C04C6">
        <w:t xml:space="preserve"> </w:t>
      </w:r>
      <w:r w:rsidR="00B43F13" w:rsidRPr="008C04C6">
        <w:t>advice for workers</w:t>
      </w:r>
    </w:p>
    <w:p w14:paraId="6299FD28" w14:textId="423EBD76" w:rsidR="003210C5" w:rsidRPr="008C04C6" w:rsidRDefault="00692A32" w:rsidP="008C04C6">
      <w:pPr>
        <w:pStyle w:val="ListParagraph"/>
      </w:pPr>
      <w:r w:rsidRPr="008C04C6">
        <w:t>s</w:t>
      </w:r>
      <w:r w:rsidR="003210C5" w:rsidRPr="008C04C6">
        <w:t>kills recognition</w:t>
      </w:r>
      <w:r w:rsidR="00267247" w:rsidRPr="008C04C6">
        <w:t>,</w:t>
      </w:r>
      <w:r w:rsidR="003210C5" w:rsidRPr="008C04C6">
        <w:t xml:space="preserve"> </w:t>
      </w:r>
      <w:r w:rsidR="002B4132" w:rsidRPr="008C04C6">
        <w:t xml:space="preserve">support for </w:t>
      </w:r>
      <w:r w:rsidR="003210C5" w:rsidRPr="008C04C6">
        <w:t>training</w:t>
      </w:r>
      <w:r w:rsidR="00B43F13" w:rsidRPr="008C04C6">
        <w:t xml:space="preserve"> for workers</w:t>
      </w:r>
    </w:p>
    <w:p w14:paraId="7E33DF07" w14:textId="3CAD5E52" w:rsidR="005351E5" w:rsidRPr="008C04C6" w:rsidRDefault="00692A32" w:rsidP="008C04C6">
      <w:pPr>
        <w:pStyle w:val="ListParagraph"/>
      </w:pPr>
      <w:r w:rsidRPr="008C04C6">
        <w:t>s</w:t>
      </w:r>
      <w:r w:rsidR="003210C5" w:rsidRPr="008C04C6">
        <w:t>upport to find a new job</w:t>
      </w:r>
      <w:r w:rsidR="00A00030" w:rsidRPr="008C04C6">
        <w:t>.</w:t>
      </w:r>
    </w:p>
    <w:p w14:paraId="553ADFA0" w14:textId="5CB092A6" w:rsidR="00502CD6" w:rsidRDefault="00502CD6" w:rsidP="00B43F13">
      <w:r w:rsidRPr="004229CC">
        <w:t xml:space="preserve">Employers who engaged in socially responsible </w:t>
      </w:r>
      <w:r>
        <w:t>restructuring reported increased</w:t>
      </w:r>
      <w:r w:rsidRPr="004229CC">
        <w:t xml:space="preserve"> productivity, reduced absenteeism, higher worker morale and brand loyalty</w:t>
      </w:r>
      <w:r>
        <w:t>.</w:t>
      </w:r>
    </w:p>
    <w:p w14:paraId="620843EF" w14:textId="52BDCCC0" w:rsidR="00B43F13" w:rsidRDefault="0011535B" w:rsidP="00B43F13">
      <w:pPr>
        <w:rPr>
          <w:noProof/>
          <w:lang w:eastAsia="en-AU"/>
        </w:rPr>
      </w:pPr>
      <w:r>
        <w:rPr>
          <w:noProof/>
          <w:lang w:eastAsia="en-AU"/>
        </w:rPr>
        <w:t xml:space="preserve">It is not expected that employers do this alone. </w:t>
      </w:r>
      <w:r w:rsidR="00502CD6">
        <w:rPr>
          <w:noProof/>
          <w:lang w:eastAsia="en-AU"/>
        </w:rPr>
        <w:t xml:space="preserve">Your response can be tailored to your circumstances depending on the size of the business, resources available and number of retrenched workers. </w:t>
      </w:r>
      <w:r>
        <w:rPr>
          <w:noProof/>
          <w:lang w:eastAsia="en-AU"/>
        </w:rPr>
        <w:t xml:space="preserve">There is help available through government and other service providers. Details of who to contact are provided </w:t>
      </w:r>
      <w:r w:rsidR="00502CD6">
        <w:rPr>
          <w:noProof/>
          <w:lang w:eastAsia="en-AU"/>
        </w:rPr>
        <w:t>in</w:t>
      </w:r>
      <w:r>
        <w:rPr>
          <w:noProof/>
          <w:lang w:eastAsia="en-AU"/>
        </w:rPr>
        <w:t xml:space="preserve"> this document and employers are encouraged to seek advice and support.</w:t>
      </w:r>
    </w:p>
    <w:p w14:paraId="26FFF872" w14:textId="7FE4AF99" w:rsidR="00A733CE" w:rsidRPr="004F3C92" w:rsidRDefault="00186A03" w:rsidP="008C04C6">
      <w:pPr>
        <w:pStyle w:val="Heading2"/>
      </w:pPr>
      <w:r w:rsidRPr="004F3C92">
        <w:t xml:space="preserve">Information and </w:t>
      </w:r>
      <w:r w:rsidRPr="00736535">
        <w:t>ongoing</w:t>
      </w:r>
      <w:r w:rsidRPr="004F3C92">
        <w:t xml:space="preserve"> support </w:t>
      </w:r>
    </w:p>
    <w:p w14:paraId="1302D280" w14:textId="07AF4BC3" w:rsidR="00AD2B99" w:rsidRDefault="003210C5" w:rsidP="00A733CE">
      <w:pPr>
        <w:spacing w:after="0" w:line="240" w:lineRule="auto"/>
      </w:pPr>
      <w:r w:rsidRPr="003210C5">
        <w:t>It is important that retrenched workers are provided with timely and accurate information about the retrenchment process. Accurate</w:t>
      </w:r>
      <w:r w:rsidR="00B43F13">
        <w:t>, regular</w:t>
      </w:r>
      <w:r w:rsidRPr="003210C5">
        <w:t xml:space="preserve"> and up to date information removes some of the uncertainty </w:t>
      </w:r>
      <w:r w:rsidR="005A5770">
        <w:t>experienced</w:t>
      </w:r>
      <w:r w:rsidRPr="003210C5">
        <w:t xml:space="preserve"> by </w:t>
      </w:r>
      <w:r w:rsidR="005A5770">
        <w:t>workers facing retrenchment</w:t>
      </w:r>
      <w:r w:rsidRPr="003210C5">
        <w:t xml:space="preserve"> and enables them to begin planning their transition.</w:t>
      </w:r>
      <w:r w:rsidR="00547852">
        <w:t xml:space="preserve"> </w:t>
      </w:r>
      <w:r w:rsidR="00B43F13">
        <w:t>Regular communication</w:t>
      </w:r>
      <w:r w:rsidR="00547852">
        <w:t xml:space="preserve"> is key to ensuring retrenched workers remain engaged with av</w:t>
      </w:r>
      <w:r w:rsidR="003041CD">
        <w:t>ailable support services and improves their future employment prospects</w:t>
      </w:r>
      <w:r w:rsidR="008C04C6">
        <w:t xml:space="preserve">. </w:t>
      </w:r>
    </w:p>
    <w:p w14:paraId="1C45DDDA" w14:textId="77777777" w:rsidR="003041CD" w:rsidRDefault="00A733CE" w:rsidP="008C04C6">
      <w:pPr>
        <w:pStyle w:val="Heading3"/>
        <w:rPr>
          <w:noProof/>
          <w:lang w:eastAsia="en-AU"/>
        </w:rPr>
      </w:pPr>
      <w:r w:rsidRPr="004F3C92">
        <w:rPr>
          <w:noProof/>
          <w:lang w:eastAsia="en-AU"/>
        </w:rPr>
        <w:t>What</w:t>
      </w:r>
      <w:r w:rsidR="00A735DB" w:rsidRPr="004F3C92">
        <w:rPr>
          <w:noProof/>
          <w:lang w:eastAsia="en-AU"/>
        </w:rPr>
        <w:t xml:space="preserve"> information should I provide to retrenched workers</w:t>
      </w:r>
      <w:r w:rsidR="003041CD">
        <w:rPr>
          <w:noProof/>
          <w:lang w:eastAsia="en-AU"/>
        </w:rPr>
        <w:t>?</w:t>
      </w:r>
    </w:p>
    <w:p w14:paraId="1D86ED7B" w14:textId="78B873E5" w:rsidR="00B43F13" w:rsidRDefault="003041CD" w:rsidP="00275DAE">
      <w:pPr>
        <w:rPr>
          <w:noProof/>
          <w:lang w:eastAsia="en-AU"/>
        </w:rPr>
      </w:pPr>
      <w:r>
        <w:rPr>
          <w:noProof/>
          <w:lang w:eastAsia="en-AU"/>
        </w:rPr>
        <w:t xml:space="preserve">Employers may not have all the necessary information to begin with. However, it is important employers </w:t>
      </w:r>
      <w:r w:rsidR="00275DAE">
        <w:rPr>
          <w:noProof/>
          <w:lang w:eastAsia="en-AU"/>
        </w:rPr>
        <w:t>share</w:t>
      </w:r>
      <w:r>
        <w:rPr>
          <w:noProof/>
          <w:lang w:eastAsia="en-AU"/>
        </w:rPr>
        <w:t xml:space="preserve"> relevant information</w:t>
      </w:r>
      <w:r w:rsidR="00275DAE">
        <w:rPr>
          <w:noProof/>
          <w:lang w:eastAsia="en-AU"/>
        </w:rPr>
        <w:t xml:space="preserve"> with workers</w:t>
      </w:r>
      <w:r>
        <w:rPr>
          <w:noProof/>
          <w:lang w:eastAsia="en-AU"/>
        </w:rPr>
        <w:t xml:space="preserve"> as it filters through</w:t>
      </w:r>
      <w:r w:rsidR="00275DAE">
        <w:rPr>
          <w:noProof/>
          <w:lang w:eastAsia="en-AU"/>
        </w:rPr>
        <w:t xml:space="preserve"> so that workers </w:t>
      </w:r>
      <w:r w:rsidR="0011535B">
        <w:rPr>
          <w:noProof/>
          <w:lang w:eastAsia="en-AU"/>
        </w:rPr>
        <w:t xml:space="preserve">feel informed </w:t>
      </w:r>
      <w:r w:rsidR="00D85007">
        <w:rPr>
          <w:noProof/>
          <w:lang w:eastAsia="en-AU"/>
        </w:rPr>
        <w:t xml:space="preserve">about </w:t>
      </w:r>
      <w:r w:rsidR="00275DAE">
        <w:rPr>
          <w:noProof/>
          <w:lang w:eastAsia="en-AU"/>
        </w:rPr>
        <w:t xml:space="preserve">the process. </w:t>
      </w:r>
    </w:p>
    <w:p w14:paraId="6AF8A39F" w14:textId="325FBA9D" w:rsidR="00177534" w:rsidRPr="00AA3E35" w:rsidRDefault="00A735DB" w:rsidP="00275DAE">
      <w:pPr>
        <w:rPr>
          <w:noProof/>
          <w:lang w:eastAsia="en-AU"/>
        </w:rPr>
      </w:pPr>
      <w:r w:rsidRPr="00C92967">
        <w:rPr>
          <w:noProof/>
          <w:lang w:eastAsia="en-AU"/>
        </w:rPr>
        <w:lastRenderedPageBreak/>
        <w:t>Whole of workforce information sessions during and outside work hours</w:t>
      </w:r>
      <w:r w:rsidR="000C179D">
        <w:rPr>
          <w:noProof/>
          <w:lang w:eastAsia="en-AU"/>
        </w:rPr>
        <w:t xml:space="preserve"> are a useful way to share information and allow workers to ask questions or raise concerns they may have</w:t>
      </w:r>
      <w:r>
        <w:rPr>
          <w:noProof/>
          <w:lang w:eastAsia="en-AU"/>
        </w:rPr>
        <w:t>.</w:t>
      </w:r>
      <w:r w:rsidRPr="00C92967">
        <w:rPr>
          <w:noProof/>
          <w:lang w:eastAsia="en-AU"/>
        </w:rPr>
        <w:t xml:space="preserve"> </w:t>
      </w:r>
      <w:r w:rsidR="00177534" w:rsidRPr="00AA3E35">
        <w:rPr>
          <w:noProof/>
          <w:lang w:eastAsia="en-AU"/>
        </w:rPr>
        <w:t>Information sessions could cover:</w:t>
      </w:r>
    </w:p>
    <w:p w14:paraId="5FA9F6A8" w14:textId="0B8F8C95" w:rsidR="00177534" w:rsidRPr="008C04C6" w:rsidRDefault="00692A32" w:rsidP="008C04C6">
      <w:pPr>
        <w:pStyle w:val="ListParagraph"/>
      </w:pPr>
      <w:r w:rsidRPr="008C04C6">
        <w:t>s</w:t>
      </w:r>
      <w:r w:rsidR="00177534" w:rsidRPr="008C04C6">
        <w:t>upport available and how to access it</w:t>
      </w:r>
    </w:p>
    <w:p w14:paraId="16687A74" w14:textId="4793FC52" w:rsidR="00177534" w:rsidRPr="008C04C6" w:rsidRDefault="00692A32" w:rsidP="008C04C6">
      <w:pPr>
        <w:pStyle w:val="ListParagraph"/>
      </w:pPr>
      <w:r w:rsidRPr="008C04C6">
        <w:t>i</w:t>
      </w:r>
      <w:r w:rsidR="00177534" w:rsidRPr="008C04C6">
        <w:t>nformation about the</w:t>
      </w:r>
      <w:r w:rsidR="000C179D" w:rsidRPr="008C04C6">
        <w:t xml:space="preserve"> j</w:t>
      </w:r>
      <w:r w:rsidRPr="008C04C6">
        <w:t>obs available in the local area</w:t>
      </w:r>
      <w:r w:rsidR="0011535B" w:rsidRPr="008C04C6">
        <w:t xml:space="preserve"> or where to look for local opportunities</w:t>
      </w:r>
    </w:p>
    <w:p w14:paraId="412E6B70" w14:textId="02A61E96" w:rsidR="00177534" w:rsidRPr="008C04C6" w:rsidRDefault="00D22E27" w:rsidP="008C04C6">
      <w:pPr>
        <w:pStyle w:val="ListParagraph"/>
      </w:pPr>
      <w:r w:rsidRPr="008C04C6">
        <w:t>i</w:t>
      </w:r>
      <w:r w:rsidR="00177534" w:rsidRPr="008C04C6">
        <w:t xml:space="preserve">nformation about support to reskill and/or upskill </w:t>
      </w:r>
      <w:r w:rsidR="008F75A3" w:rsidRPr="008C04C6">
        <w:t xml:space="preserve">for </w:t>
      </w:r>
      <w:r w:rsidR="00177534" w:rsidRPr="008C04C6">
        <w:t xml:space="preserve">new </w:t>
      </w:r>
      <w:r w:rsidR="00692A32" w:rsidRPr="008C04C6">
        <w:t>employment opportunities</w:t>
      </w:r>
    </w:p>
    <w:p w14:paraId="2CDC837A" w14:textId="4AD92690" w:rsidR="00177534" w:rsidRPr="008C04C6" w:rsidRDefault="00D22E27" w:rsidP="008C04C6">
      <w:pPr>
        <w:pStyle w:val="ListParagraph"/>
      </w:pPr>
      <w:r w:rsidRPr="008C04C6">
        <w:t>i</w:t>
      </w:r>
      <w:r w:rsidR="00177534" w:rsidRPr="008C04C6">
        <w:t>nformation about financial supp</w:t>
      </w:r>
      <w:r w:rsidR="004F29DC" w:rsidRPr="008C04C6">
        <w:t>ort including redundancy payouts</w:t>
      </w:r>
      <w:r w:rsidR="00177534" w:rsidRPr="008C04C6">
        <w:t>, Centrelink income support, superannuation advice</w:t>
      </w:r>
    </w:p>
    <w:p w14:paraId="22ACA65B" w14:textId="2D8EE35A" w:rsidR="00177534" w:rsidRPr="008C04C6" w:rsidRDefault="00D22E27" w:rsidP="008C04C6">
      <w:pPr>
        <w:pStyle w:val="ListParagraph"/>
      </w:pPr>
      <w:r w:rsidRPr="008C04C6">
        <w:t>w</w:t>
      </w:r>
      <w:r w:rsidR="008F75A3" w:rsidRPr="008C04C6">
        <w:t>here</w:t>
      </w:r>
      <w:r w:rsidR="00177534" w:rsidRPr="008C04C6">
        <w:t xml:space="preserve"> to get information on other assistance available </w:t>
      </w:r>
      <w:r w:rsidR="004F29DC" w:rsidRPr="008C04C6">
        <w:t>through</w:t>
      </w:r>
      <w:r w:rsidR="00177534" w:rsidRPr="008C04C6">
        <w:t xml:space="preserve"> Government and </w:t>
      </w:r>
      <w:r w:rsidR="004F29DC" w:rsidRPr="008C04C6">
        <w:t>local</w:t>
      </w:r>
      <w:r w:rsidR="00267247" w:rsidRPr="008C04C6">
        <w:t xml:space="preserve"> </w:t>
      </w:r>
      <w:r w:rsidR="00177534" w:rsidRPr="008C04C6">
        <w:t>community services</w:t>
      </w:r>
      <w:r w:rsidR="008F75A3" w:rsidRPr="008C04C6">
        <w:t xml:space="preserve"> </w:t>
      </w:r>
    </w:p>
    <w:p w14:paraId="210E984B" w14:textId="762C718D" w:rsidR="000C179D" w:rsidRPr="008C04C6" w:rsidRDefault="00D22E27" w:rsidP="008C04C6">
      <w:pPr>
        <w:pStyle w:val="ListParagraph"/>
      </w:pPr>
      <w:r w:rsidRPr="008C04C6">
        <w:t xml:space="preserve">a </w:t>
      </w:r>
      <w:r w:rsidR="00177534" w:rsidRPr="008C04C6">
        <w:t xml:space="preserve">consistent point of contact within the workplace for </w:t>
      </w:r>
      <w:r w:rsidR="000D6D04" w:rsidRPr="008C04C6">
        <w:t>workers</w:t>
      </w:r>
      <w:r w:rsidR="00177534" w:rsidRPr="008C04C6">
        <w:t xml:space="preserve"> to engage with for </w:t>
      </w:r>
      <w:r w:rsidR="00692A32" w:rsidRPr="008C04C6">
        <w:t>guidance</w:t>
      </w:r>
      <w:r w:rsidRPr="008C04C6">
        <w:t>.</w:t>
      </w:r>
    </w:p>
    <w:p w14:paraId="60696F9C" w14:textId="56B35F8F" w:rsidR="00177534" w:rsidRDefault="000C179D" w:rsidP="008C04C6">
      <w:pPr>
        <w:pStyle w:val="Heading3"/>
        <w:rPr>
          <w:noProof/>
          <w:lang w:eastAsia="en-AU"/>
        </w:rPr>
      </w:pPr>
      <w:r w:rsidRPr="000C179D">
        <w:rPr>
          <w:noProof/>
          <w:lang w:eastAsia="en-AU"/>
        </w:rPr>
        <w:t>How can I share information with workers?</w:t>
      </w:r>
      <w:r w:rsidR="008F75A3" w:rsidRPr="000C179D">
        <w:rPr>
          <w:noProof/>
          <w:lang w:eastAsia="en-AU"/>
        </w:rPr>
        <w:t xml:space="preserve"> </w:t>
      </w:r>
    </w:p>
    <w:p w14:paraId="3A65DDAC" w14:textId="59949027" w:rsidR="00973323" w:rsidRPr="00973323" w:rsidRDefault="00973323" w:rsidP="00973323">
      <w:pPr>
        <w:rPr>
          <w:lang w:eastAsia="en-AU"/>
        </w:rPr>
      </w:pPr>
      <w:r>
        <w:rPr>
          <w:lang w:eastAsia="en-AU"/>
        </w:rPr>
        <w:t>Often information sessions contain large volumes of information and</w:t>
      </w:r>
      <w:r w:rsidR="008911BA">
        <w:rPr>
          <w:lang w:eastAsia="en-AU"/>
        </w:rPr>
        <w:t xml:space="preserve"> can be overwhelming</w:t>
      </w:r>
      <w:r>
        <w:rPr>
          <w:lang w:eastAsia="en-AU"/>
        </w:rPr>
        <w:t xml:space="preserve">. </w:t>
      </w:r>
      <w:r w:rsidR="000A29EB">
        <w:rPr>
          <w:lang w:eastAsia="en-AU"/>
        </w:rPr>
        <w:t xml:space="preserve">Employers could </w:t>
      </w:r>
      <w:r w:rsidR="008911BA">
        <w:rPr>
          <w:lang w:eastAsia="en-AU"/>
        </w:rPr>
        <w:t xml:space="preserve">also </w:t>
      </w:r>
      <w:r w:rsidR="000A29EB">
        <w:rPr>
          <w:lang w:eastAsia="en-AU"/>
        </w:rPr>
        <w:t>make this information available</w:t>
      </w:r>
      <w:r w:rsidR="008911BA">
        <w:rPr>
          <w:lang w:eastAsia="en-AU"/>
        </w:rPr>
        <w:t xml:space="preserve"> elsewhere</w:t>
      </w:r>
      <w:r w:rsidR="000A29EB">
        <w:rPr>
          <w:lang w:eastAsia="en-AU"/>
        </w:rPr>
        <w:t>, including:</w:t>
      </w:r>
    </w:p>
    <w:p w14:paraId="75ADC0F7" w14:textId="22EE626A" w:rsidR="000D6D04" w:rsidRPr="008C04C6" w:rsidRDefault="00A00030" w:rsidP="008C04C6">
      <w:pPr>
        <w:pStyle w:val="ListParagraph"/>
      </w:pPr>
      <w:r w:rsidRPr="008C04C6">
        <w:t>i</w:t>
      </w:r>
      <w:r w:rsidR="00A733CE" w:rsidRPr="008C04C6">
        <w:t>nter</w:t>
      </w:r>
      <w:r w:rsidR="008F75A3" w:rsidRPr="008C04C6">
        <w:t>nal communication sources</w:t>
      </w:r>
      <w:r w:rsidR="00A733CE" w:rsidRPr="008C04C6">
        <w:t xml:space="preserve"> such as</w:t>
      </w:r>
      <w:r w:rsidR="008F75A3" w:rsidRPr="008C04C6">
        <w:t xml:space="preserve"> lunch room bulletin boards and </w:t>
      </w:r>
      <w:r w:rsidR="000D6D04" w:rsidRPr="008C04C6">
        <w:t>internal</w:t>
      </w:r>
      <w:r w:rsidR="004F29DC" w:rsidRPr="008C04C6">
        <w:t xml:space="preserve"> websites; newsletters and text meesages</w:t>
      </w:r>
    </w:p>
    <w:p w14:paraId="7259B3E0" w14:textId="1EE15FE5" w:rsidR="000D6D04" w:rsidRPr="008C04C6" w:rsidRDefault="00A00030" w:rsidP="008C04C6">
      <w:pPr>
        <w:pStyle w:val="ListParagraph"/>
      </w:pPr>
      <w:r w:rsidRPr="008C04C6">
        <w:t>a</w:t>
      </w:r>
      <w:r w:rsidR="00A733CE" w:rsidRPr="008C04C6">
        <w:t xml:space="preserve"> telephone hotline staffed by</w:t>
      </w:r>
      <w:r w:rsidR="000D6D04" w:rsidRPr="008C04C6">
        <w:t xml:space="preserve"> people with knowledge of t</w:t>
      </w:r>
      <w:r w:rsidRPr="008C04C6">
        <w:t>he support available to workers</w:t>
      </w:r>
      <w:r w:rsidR="00A733CE" w:rsidRPr="008C04C6">
        <w:t xml:space="preserve"> </w:t>
      </w:r>
    </w:p>
    <w:p w14:paraId="3652C7F0" w14:textId="3AD030F2" w:rsidR="00A733CE" w:rsidRPr="008C04C6" w:rsidRDefault="00A00030" w:rsidP="008C04C6">
      <w:pPr>
        <w:pStyle w:val="ListParagraph"/>
      </w:pPr>
      <w:r w:rsidRPr="008C04C6">
        <w:t>a</w:t>
      </w:r>
      <w:r w:rsidR="000C179D" w:rsidRPr="008C04C6">
        <w:t xml:space="preserve"> r</w:t>
      </w:r>
      <w:r w:rsidR="008F75A3" w:rsidRPr="008C04C6">
        <w:t xml:space="preserve">oaming transition team </w:t>
      </w:r>
      <w:r w:rsidR="000C179D" w:rsidRPr="008C04C6">
        <w:t xml:space="preserve">that </w:t>
      </w:r>
      <w:r w:rsidR="008F75A3" w:rsidRPr="008C04C6">
        <w:t xml:space="preserve">visits </w:t>
      </w:r>
      <w:r w:rsidR="00A733CE" w:rsidRPr="008C04C6">
        <w:t>team meetings to promote engagement with the services to support transition</w:t>
      </w:r>
    </w:p>
    <w:p w14:paraId="7B984F37" w14:textId="4C5FF279" w:rsidR="00D020B0" w:rsidRPr="008C04C6" w:rsidRDefault="00A00030" w:rsidP="008C04C6">
      <w:pPr>
        <w:pStyle w:val="ListParagraph"/>
      </w:pPr>
      <w:r w:rsidRPr="008C04C6">
        <w:t>l</w:t>
      </w:r>
      <w:r w:rsidR="00D020B0" w:rsidRPr="008C04C6">
        <w:t>arger</w:t>
      </w:r>
      <w:r w:rsidR="002C704C" w:rsidRPr="008C04C6">
        <w:t xml:space="preserve"> businesses</w:t>
      </w:r>
      <w:r w:rsidR="00D020B0" w:rsidRPr="008C04C6">
        <w:t xml:space="preserve"> could consider establishing a</w:t>
      </w:r>
      <w:r w:rsidR="004F29DC" w:rsidRPr="008C04C6">
        <w:t>n on-site</w:t>
      </w:r>
      <w:r w:rsidR="00D020B0" w:rsidRPr="008C04C6">
        <w:t xml:space="preserve"> Transition Centre to give workers and their partners</w:t>
      </w:r>
      <w:r w:rsidR="004C4A8F" w:rsidRPr="008C04C6">
        <w:t>/families</w:t>
      </w:r>
      <w:r w:rsidR="00D020B0" w:rsidRPr="008C04C6">
        <w:t xml:space="preserve"> a place to seek f</w:t>
      </w:r>
      <w:r w:rsidRPr="008C04C6">
        <w:t>urther information and guidance.</w:t>
      </w:r>
    </w:p>
    <w:p w14:paraId="38C671AA" w14:textId="6B306FE5" w:rsidR="00DC6C2C" w:rsidRDefault="00DC6C2C" w:rsidP="008C04C6">
      <w:pPr>
        <w:pStyle w:val="Heading3"/>
        <w:rPr>
          <w:noProof/>
          <w:lang w:eastAsia="en-AU"/>
        </w:rPr>
      </w:pPr>
      <w:r w:rsidRPr="00D020B0">
        <w:rPr>
          <w:noProof/>
          <w:lang w:eastAsia="en-AU"/>
        </w:rPr>
        <w:t>What government services might be available?</w:t>
      </w:r>
    </w:p>
    <w:p w14:paraId="3C418F1D" w14:textId="1DA3580E" w:rsidR="000C179D" w:rsidRPr="000C179D" w:rsidRDefault="000C179D" w:rsidP="000C179D">
      <w:pPr>
        <w:rPr>
          <w:lang w:eastAsia="en-AU"/>
        </w:rPr>
      </w:pPr>
      <w:r>
        <w:rPr>
          <w:lang w:eastAsia="en-AU"/>
        </w:rPr>
        <w:t>Support services are available at all</w:t>
      </w:r>
      <w:r w:rsidR="00A00030">
        <w:rPr>
          <w:lang w:eastAsia="en-AU"/>
        </w:rPr>
        <w:t xml:space="preserve"> levels of government. F</w:t>
      </w:r>
      <w:r>
        <w:rPr>
          <w:lang w:eastAsia="en-AU"/>
        </w:rPr>
        <w:t>actsheets for each state</w:t>
      </w:r>
      <w:r w:rsidR="00D020B0">
        <w:rPr>
          <w:lang w:eastAsia="en-AU"/>
        </w:rPr>
        <w:t xml:space="preserve"> can be found at </w:t>
      </w:r>
      <w:r w:rsidR="006B5D80" w:rsidRPr="006B5D80">
        <w:t xml:space="preserve"> </w:t>
      </w:r>
      <w:r w:rsidR="006B5D80" w:rsidRPr="006B5D80">
        <w:rPr>
          <w:rStyle w:val="Hyperlink"/>
          <w:lang w:eastAsia="en-AU"/>
        </w:rPr>
        <w:t>whatsnext.jobs.gov.au/information-and-support</w:t>
      </w:r>
      <w:r w:rsidR="004F29DC">
        <w:rPr>
          <w:lang w:eastAsia="en-AU"/>
        </w:rPr>
        <w:t>.</w:t>
      </w:r>
      <w:r w:rsidR="008911BA">
        <w:rPr>
          <w:lang w:eastAsia="en-AU"/>
        </w:rPr>
        <w:t xml:space="preserve"> These</w:t>
      </w:r>
      <w:r w:rsidR="004F29DC">
        <w:rPr>
          <w:lang w:eastAsia="en-AU"/>
        </w:rPr>
        <w:t xml:space="preserve"> will provide details of who</w:t>
      </w:r>
      <w:r w:rsidR="008911BA">
        <w:rPr>
          <w:lang w:eastAsia="en-AU"/>
        </w:rPr>
        <w:t xml:space="preserve"> you can</w:t>
      </w:r>
      <w:r w:rsidR="004F29DC">
        <w:rPr>
          <w:lang w:eastAsia="en-AU"/>
        </w:rPr>
        <w:t xml:space="preserve"> contact to help you support your workers.</w:t>
      </w:r>
    </w:p>
    <w:p w14:paraId="3066FCE2" w14:textId="486D0236" w:rsidR="00A733CE" w:rsidRPr="004F3C92" w:rsidRDefault="00A733CE" w:rsidP="008C04C6">
      <w:pPr>
        <w:pStyle w:val="Heading2"/>
      </w:pPr>
      <w:r w:rsidRPr="004F3C92">
        <w:t>Career and Training assistance</w:t>
      </w:r>
    </w:p>
    <w:p w14:paraId="75BA178D" w14:textId="06F375FD" w:rsidR="00A733CE" w:rsidRPr="00D020B0" w:rsidRDefault="004275AC" w:rsidP="00D020B0">
      <w:r>
        <w:t xml:space="preserve">Some workers may have been in their current job for many years and </w:t>
      </w:r>
      <w:r w:rsidR="00A00030">
        <w:t>may</w:t>
      </w:r>
      <w:r>
        <w:t xml:space="preserve"> not </w:t>
      </w:r>
      <w:r w:rsidR="00A00030">
        <w:t xml:space="preserve">be </w:t>
      </w:r>
      <w:r>
        <w:t>aware of the employment and training opportunities that exist. To help workers</w:t>
      </w:r>
      <w:r w:rsidR="008911BA">
        <w:t xml:space="preserve"> kickstart</w:t>
      </w:r>
      <w:r>
        <w:t xml:space="preserve"> their transition process, e</w:t>
      </w:r>
      <w:r w:rsidR="004229CC" w:rsidRPr="00C56AF5">
        <w:t xml:space="preserve">mployers </w:t>
      </w:r>
      <w:r w:rsidR="00D020B0">
        <w:t>could</w:t>
      </w:r>
      <w:r w:rsidR="004229CC" w:rsidRPr="00C56AF5">
        <w:t xml:space="preserve"> engage qualified </w:t>
      </w:r>
      <w:r w:rsidR="004229CC">
        <w:t>career counsellors to provide retrenched workers with individualised career advice focused on reviewing strengths, skills and experience.</w:t>
      </w:r>
      <w:r w:rsidR="00D020B0">
        <w:t xml:space="preserve"> </w:t>
      </w:r>
      <w:r w:rsidR="00780AA8">
        <w:rPr>
          <w:noProof/>
          <w:lang w:eastAsia="en-AU"/>
        </w:rPr>
        <w:t>E</w:t>
      </w:r>
      <w:r w:rsidR="00780AA8" w:rsidRPr="00AA3E35">
        <w:rPr>
          <w:noProof/>
          <w:lang w:eastAsia="en-AU"/>
        </w:rPr>
        <w:t xml:space="preserve">arly engagement </w:t>
      </w:r>
      <w:r w:rsidR="00780AA8">
        <w:rPr>
          <w:noProof/>
          <w:lang w:eastAsia="en-AU"/>
        </w:rPr>
        <w:t>with career and training</w:t>
      </w:r>
      <w:r w:rsidR="00780AA8" w:rsidRPr="00AA3E35">
        <w:rPr>
          <w:noProof/>
          <w:lang w:eastAsia="en-AU"/>
        </w:rPr>
        <w:t xml:space="preserve"> discussions</w:t>
      </w:r>
      <w:r w:rsidR="00780AA8">
        <w:rPr>
          <w:noProof/>
          <w:lang w:eastAsia="en-AU"/>
        </w:rPr>
        <w:t xml:space="preserve"> can increase wo</w:t>
      </w:r>
      <w:r w:rsidR="004F29DC">
        <w:rPr>
          <w:noProof/>
          <w:lang w:eastAsia="en-AU"/>
        </w:rPr>
        <w:t>rker productivty and engagement, as workers will feel supported through the transition process.</w:t>
      </w:r>
    </w:p>
    <w:p w14:paraId="7F2664BE" w14:textId="1D136CFD" w:rsidR="00A733CE" w:rsidRDefault="00E4232E" w:rsidP="008C04C6">
      <w:pPr>
        <w:pStyle w:val="Heading3"/>
      </w:pPr>
      <w:r w:rsidRPr="004F3C92">
        <w:lastRenderedPageBreak/>
        <w:t>How can</w:t>
      </w:r>
      <w:r w:rsidR="008C66EF" w:rsidRPr="004F3C92">
        <w:t xml:space="preserve"> I</w:t>
      </w:r>
      <w:r w:rsidR="00A733CE" w:rsidRPr="004F3C92">
        <w:t xml:space="preserve"> </w:t>
      </w:r>
      <w:r w:rsidR="005332C6">
        <w:t>encourage workers</w:t>
      </w:r>
      <w:r w:rsidR="00614B70" w:rsidRPr="004F3C92">
        <w:t xml:space="preserve"> to </w:t>
      </w:r>
      <w:r w:rsidR="000D58E4">
        <w:t xml:space="preserve">use the </w:t>
      </w:r>
      <w:r w:rsidR="00A733CE" w:rsidRPr="004F3C92">
        <w:t>transition assistance</w:t>
      </w:r>
      <w:r w:rsidR="008C66EF" w:rsidRPr="004F3C92">
        <w:t>?</w:t>
      </w:r>
    </w:p>
    <w:p w14:paraId="0213129C" w14:textId="61AB0FFC" w:rsidR="000D58E4" w:rsidRDefault="005332C6" w:rsidP="00844F24">
      <w:pPr>
        <w:spacing w:after="200" w:line="276" w:lineRule="auto"/>
        <w:rPr>
          <w:noProof/>
          <w:lang w:eastAsia="en-AU"/>
        </w:rPr>
      </w:pPr>
      <w:r>
        <w:rPr>
          <w:noProof/>
          <w:lang w:eastAsia="en-AU"/>
        </w:rPr>
        <w:t xml:space="preserve">Some workers may require additional support to access the assistance available. </w:t>
      </w:r>
      <w:r w:rsidR="000D58E4">
        <w:t>Employers can encourage workers to engage with transition assistance in a number of ways, including:</w:t>
      </w:r>
    </w:p>
    <w:p w14:paraId="10DE2092" w14:textId="77777777" w:rsidR="000D58E4" w:rsidRPr="008C04C6" w:rsidRDefault="000D58E4" w:rsidP="008C04C6">
      <w:pPr>
        <w:pStyle w:val="ListParagraph"/>
      </w:pPr>
      <w:r w:rsidRPr="008C04C6">
        <w:t>promoting to workers the value of coming early to careers and transition support to find out where the jobs are and what employers are looking for</w:t>
      </w:r>
    </w:p>
    <w:p w14:paraId="34943424" w14:textId="74E3FB73" w:rsidR="000D58E4" w:rsidRPr="008C04C6" w:rsidRDefault="000D58E4" w:rsidP="008C04C6">
      <w:pPr>
        <w:pStyle w:val="ListParagraph"/>
      </w:pPr>
      <w:r w:rsidRPr="008C04C6">
        <w:t xml:space="preserve">using trusted people from the organisation such as </w:t>
      </w:r>
      <w:r w:rsidR="004C4A8F" w:rsidRPr="008C04C6">
        <w:t xml:space="preserve">supervisors, colleagues or union </w:t>
      </w:r>
      <w:r w:rsidRPr="008C04C6">
        <w:t>shop stewards</w:t>
      </w:r>
      <w:r w:rsidR="004C4A8F" w:rsidRPr="008C04C6">
        <w:t xml:space="preserve"> </w:t>
      </w:r>
      <w:r w:rsidRPr="008C04C6">
        <w:t>to promote available support</w:t>
      </w:r>
    </w:p>
    <w:p w14:paraId="6E9204B7" w14:textId="2BA8B421" w:rsidR="005332C6" w:rsidRPr="008C04C6" w:rsidRDefault="00A00030" w:rsidP="008C04C6">
      <w:pPr>
        <w:pStyle w:val="ListParagraph"/>
      </w:pPr>
      <w:r w:rsidRPr="008C04C6">
        <w:t>h</w:t>
      </w:r>
      <w:r w:rsidR="005332C6" w:rsidRPr="008C04C6">
        <w:t>olding information sessions in a child friendly location</w:t>
      </w:r>
      <w:r w:rsidR="006975EA" w:rsidRPr="008C04C6">
        <w:t xml:space="preserve"> or hours</w:t>
      </w:r>
      <w:r w:rsidR="005332C6" w:rsidRPr="008C04C6">
        <w:t xml:space="preserve"> so workers w</w:t>
      </w:r>
      <w:r w:rsidRPr="008C04C6">
        <w:t>ith children are able to attend</w:t>
      </w:r>
    </w:p>
    <w:p w14:paraId="1578E906" w14:textId="634C2400" w:rsidR="005332C6" w:rsidRPr="008C04C6" w:rsidRDefault="00A00030" w:rsidP="008C04C6">
      <w:pPr>
        <w:pStyle w:val="ListParagraph"/>
      </w:pPr>
      <w:r w:rsidRPr="008C04C6">
        <w:t>h</w:t>
      </w:r>
      <w:r w:rsidR="005332C6" w:rsidRPr="008C04C6">
        <w:t>elping workers to</w:t>
      </w:r>
      <w:r w:rsidRPr="008C04C6">
        <w:t xml:space="preserve"> improve their </w:t>
      </w:r>
      <w:r w:rsidR="00D85007" w:rsidRPr="008C04C6">
        <w:t>computer or IT skills</w:t>
      </w:r>
      <w:r w:rsidR="006975EA" w:rsidRPr="008C04C6">
        <w:t xml:space="preserve"> to prepare them for online job search</w:t>
      </w:r>
    </w:p>
    <w:p w14:paraId="5FBD165E" w14:textId="25D71297" w:rsidR="005332C6" w:rsidRPr="008C04C6" w:rsidRDefault="00A00030" w:rsidP="008C04C6">
      <w:pPr>
        <w:pStyle w:val="ListParagraph"/>
      </w:pPr>
      <w:r w:rsidRPr="008C04C6">
        <w:t>c</w:t>
      </w:r>
      <w:r w:rsidR="005332C6" w:rsidRPr="008C04C6">
        <w:t xml:space="preserve">ontacting your local community </w:t>
      </w:r>
      <w:r w:rsidR="004C4A8F" w:rsidRPr="008C04C6">
        <w:t xml:space="preserve">organisations or </w:t>
      </w:r>
      <w:r w:rsidR="005332C6" w:rsidRPr="008C04C6">
        <w:t xml:space="preserve">adult learning centre to assist workers who may </w:t>
      </w:r>
      <w:r w:rsidR="004C4A8F" w:rsidRPr="008C04C6">
        <w:t xml:space="preserve">need additional </w:t>
      </w:r>
      <w:r w:rsidR="005332C6" w:rsidRPr="008C04C6">
        <w:t xml:space="preserve">language, </w:t>
      </w:r>
      <w:r w:rsidR="008B2E40" w:rsidRPr="008C04C6">
        <w:t xml:space="preserve">literacy or numeracy </w:t>
      </w:r>
      <w:r w:rsidR="004C4A8F" w:rsidRPr="008C04C6">
        <w:t>support</w:t>
      </w:r>
    </w:p>
    <w:p w14:paraId="32D8C538" w14:textId="582A5D9D" w:rsidR="000D58E4" w:rsidRPr="008C04C6" w:rsidRDefault="000D58E4" w:rsidP="008C04C6">
      <w:pPr>
        <w:pStyle w:val="ListParagraph"/>
      </w:pPr>
      <w:r w:rsidRPr="008C04C6">
        <w:t>promoting case studies of co-workers and past employees who have successfully transitioned</w:t>
      </w:r>
      <w:r w:rsidR="004C4A8F" w:rsidRPr="008C04C6">
        <w:t xml:space="preserve"> to new jobs or careers</w:t>
      </w:r>
      <w:r w:rsidRPr="008C04C6">
        <w:t xml:space="preserve"> or are on the way to transitioning</w:t>
      </w:r>
      <w:r w:rsidR="00844F24" w:rsidRPr="008C04C6">
        <w:t>.</w:t>
      </w:r>
    </w:p>
    <w:p w14:paraId="4CECD575" w14:textId="5AA69043" w:rsidR="00A733CE" w:rsidRPr="00DE0206" w:rsidRDefault="00A733CE" w:rsidP="008C04C6">
      <w:pPr>
        <w:pStyle w:val="Heading2"/>
      </w:pPr>
      <w:r w:rsidRPr="004F3C92">
        <w:t>Skills recognition and training</w:t>
      </w:r>
    </w:p>
    <w:p w14:paraId="3F1BE7FD" w14:textId="77777777" w:rsidR="008B2E40" w:rsidRDefault="004229CC" w:rsidP="008B2E40">
      <w:pPr>
        <w:autoSpaceDE w:val="0"/>
        <w:autoSpaceDN w:val="0"/>
        <w:spacing w:line="240" w:lineRule="auto"/>
        <w:rPr>
          <w:rFonts w:ascii="Calibri" w:eastAsia="Times New Roman" w:hAnsi="Calibri" w:cs="Book Antiqua"/>
          <w:color w:val="000000"/>
          <w:lang w:eastAsia="en-AU"/>
        </w:rPr>
      </w:pPr>
      <w:r w:rsidRPr="004229CC">
        <w:rPr>
          <w:rFonts w:ascii="Calibri" w:eastAsia="Times New Roman" w:hAnsi="Calibri" w:cs="Book Antiqua"/>
          <w:color w:val="000000"/>
          <w:lang w:eastAsia="en-AU"/>
        </w:rPr>
        <w:t xml:space="preserve">Workers are often unaware of their transferrable skills. Transferable skills are </w:t>
      </w:r>
      <w:r w:rsidR="008B2E40">
        <w:rPr>
          <w:rFonts w:ascii="Calibri" w:eastAsia="Times New Roman" w:hAnsi="Calibri" w:cs="Book Antiqua"/>
          <w:color w:val="000000"/>
          <w:lang w:eastAsia="en-AU"/>
        </w:rPr>
        <w:t xml:space="preserve">the </w:t>
      </w:r>
      <w:r w:rsidRPr="004229CC">
        <w:rPr>
          <w:rFonts w:ascii="Calibri" w:eastAsia="Times New Roman" w:hAnsi="Calibri" w:cs="Book Antiqua"/>
          <w:color w:val="000000"/>
          <w:lang w:eastAsia="en-AU"/>
        </w:rPr>
        <w:t xml:space="preserve">skills and </w:t>
      </w:r>
      <w:r w:rsidR="008B2E40">
        <w:rPr>
          <w:rFonts w:ascii="Calibri" w:eastAsia="Times New Roman" w:hAnsi="Calibri" w:cs="Book Antiqua"/>
          <w:color w:val="000000"/>
          <w:lang w:eastAsia="en-AU"/>
        </w:rPr>
        <w:t>behaviours</w:t>
      </w:r>
      <w:r w:rsidRPr="004229CC">
        <w:rPr>
          <w:rFonts w:ascii="Calibri" w:eastAsia="Times New Roman" w:hAnsi="Calibri" w:cs="Book Antiqua"/>
          <w:color w:val="000000"/>
          <w:lang w:eastAsia="en-AU"/>
        </w:rPr>
        <w:t>, which can be applied to a wide range of different jobs and industries. Employers</w:t>
      </w:r>
      <w:r w:rsidR="008A2C4C">
        <w:rPr>
          <w:rFonts w:ascii="Calibri" w:eastAsia="Times New Roman" w:hAnsi="Calibri" w:cs="Book Antiqua"/>
          <w:color w:val="000000"/>
          <w:lang w:eastAsia="en-AU"/>
        </w:rPr>
        <w:t xml:space="preserve"> can help workers identify their transferrable skills</w:t>
      </w:r>
      <w:r w:rsidR="00A00030">
        <w:rPr>
          <w:rFonts w:ascii="Calibri" w:eastAsia="Times New Roman" w:hAnsi="Calibri" w:cs="Book Antiqua"/>
          <w:color w:val="000000"/>
          <w:lang w:eastAsia="en-AU"/>
        </w:rPr>
        <w:t xml:space="preserve"> in a number of ways such as</w:t>
      </w:r>
      <w:r w:rsidR="008B2E40">
        <w:rPr>
          <w:rFonts w:ascii="Calibri" w:eastAsia="Times New Roman" w:hAnsi="Calibri" w:cs="Book Antiqua"/>
          <w:color w:val="000000"/>
          <w:lang w:eastAsia="en-AU"/>
        </w:rPr>
        <w:t>:</w:t>
      </w:r>
    </w:p>
    <w:p w14:paraId="184B2355" w14:textId="37871F51" w:rsidR="008B2E40" w:rsidRPr="008C04C6" w:rsidRDefault="008B2E40" w:rsidP="008C04C6">
      <w:pPr>
        <w:pStyle w:val="ListParagraph"/>
      </w:pPr>
      <w:r w:rsidRPr="008C04C6">
        <w:t xml:space="preserve">Recognition of Prior Learning (RPL) </w:t>
      </w:r>
      <w:r w:rsidR="000D58E4" w:rsidRPr="008C04C6">
        <w:t>via</w:t>
      </w:r>
      <w:r w:rsidRPr="008C04C6">
        <w:t xml:space="preserve"> Registered Training Organisations (RTOs)</w:t>
      </w:r>
      <w:r w:rsidR="000D58E4" w:rsidRPr="008C04C6">
        <w:t>, TAFE</w:t>
      </w:r>
    </w:p>
    <w:p w14:paraId="20F175F4" w14:textId="31C678E4" w:rsidR="008B2E40" w:rsidRPr="008C04C6" w:rsidRDefault="008B2E40" w:rsidP="008C04C6">
      <w:pPr>
        <w:pStyle w:val="ListParagraph"/>
      </w:pPr>
      <w:r w:rsidRPr="008C04C6">
        <w:t>using career advisors to</w:t>
      </w:r>
      <w:r w:rsidR="004C4A8F" w:rsidRPr="008C04C6">
        <w:t xml:space="preserve"> advise on how to</w:t>
      </w:r>
      <w:r w:rsidRPr="008C04C6">
        <w:t xml:space="preserve"> tailor resumes</w:t>
      </w:r>
      <w:r w:rsidR="004C4A8F" w:rsidRPr="008C04C6">
        <w:t xml:space="preserve"> and job applications</w:t>
      </w:r>
    </w:p>
    <w:p w14:paraId="6A193FC7" w14:textId="4193E15F" w:rsidR="008B2E40" w:rsidRPr="008C04C6" w:rsidRDefault="008B2E40" w:rsidP="008C04C6">
      <w:pPr>
        <w:pStyle w:val="ListParagraph"/>
      </w:pPr>
      <w:r w:rsidRPr="008C04C6">
        <w:t xml:space="preserve">reviewing job vacancies and needs of </w:t>
      </w:r>
      <w:r w:rsidR="004C4A8F" w:rsidRPr="008C04C6">
        <w:t xml:space="preserve">other </w:t>
      </w:r>
      <w:r w:rsidRPr="008C04C6">
        <w:t>employers.</w:t>
      </w:r>
    </w:p>
    <w:p w14:paraId="7A5EC915" w14:textId="2952E006" w:rsidR="00A733CE" w:rsidRDefault="00897351" w:rsidP="008C04C6">
      <w:pPr>
        <w:pStyle w:val="Heading3"/>
      </w:pPr>
      <w:r w:rsidRPr="004F3C92">
        <w:t>How can I facilitate skills recognition and training</w:t>
      </w:r>
      <w:r w:rsidR="00A733CE" w:rsidRPr="004F3C92">
        <w:t>?</w:t>
      </w:r>
    </w:p>
    <w:p w14:paraId="57072CD5" w14:textId="1AAFEAFD" w:rsidR="00AD779D" w:rsidRPr="00AD779D" w:rsidRDefault="00AD779D" w:rsidP="00AD779D">
      <w:r>
        <w:t xml:space="preserve">There are a number of ways employers can support workers with skills recognition and training: </w:t>
      </w:r>
    </w:p>
    <w:p w14:paraId="21552703" w14:textId="246199FD" w:rsidR="00A733CE" w:rsidRPr="008C04C6" w:rsidRDefault="00A00030" w:rsidP="008C04C6">
      <w:pPr>
        <w:pStyle w:val="ListParagraph"/>
      </w:pPr>
      <w:r w:rsidRPr="008C04C6">
        <w:t>o</w:t>
      </w:r>
      <w:r w:rsidR="00AD779D" w:rsidRPr="008C04C6">
        <w:t>ffer workers a</w:t>
      </w:r>
      <w:r w:rsidR="00A733CE" w:rsidRPr="008C04C6">
        <w:t xml:space="preserve"> skills </w:t>
      </w:r>
      <w:r w:rsidR="008B2E40" w:rsidRPr="008C04C6">
        <w:t>check/audit</w:t>
      </w:r>
      <w:r w:rsidR="00A733CE" w:rsidRPr="008C04C6">
        <w:t xml:space="preserve"> as part of their support to up</w:t>
      </w:r>
      <w:r w:rsidR="004C4A8F" w:rsidRPr="008C04C6">
        <w:t>-skill</w:t>
      </w:r>
      <w:r w:rsidR="00A733CE" w:rsidRPr="008C04C6">
        <w:t xml:space="preserve"> or re-skill</w:t>
      </w:r>
    </w:p>
    <w:p w14:paraId="27A87F6C" w14:textId="3D65A1C9" w:rsidR="00A733CE" w:rsidRPr="008C04C6" w:rsidRDefault="008B2E40" w:rsidP="008C04C6">
      <w:pPr>
        <w:pStyle w:val="ListParagraph"/>
      </w:pPr>
      <w:r w:rsidRPr="008C04C6">
        <w:t>provide advice on</w:t>
      </w:r>
      <w:r w:rsidR="00A00030" w:rsidRPr="008C04C6">
        <w:t xml:space="preserve"> s</w:t>
      </w:r>
      <w:r w:rsidR="00A733CE" w:rsidRPr="008C04C6">
        <w:t xml:space="preserve">tudy </w:t>
      </w:r>
      <w:r w:rsidR="00170CC0" w:rsidRPr="008C04C6">
        <w:t xml:space="preserve">options </w:t>
      </w:r>
      <w:r w:rsidR="00A733CE" w:rsidRPr="008C04C6">
        <w:t>at R</w:t>
      </w:r>
      <w:r w:rsidR="004C4A8F" w:rsidRPr="008C04C6">
        <w:t xml:space="preserve">egistered </w:t>
      </w:r>
      <w:r w:rsidR="00A733CE" w:rsidRPr="008C04C6">
        <w:t>T</w:t>
      </w:r>
      <w:r w:rsidR="004C4A8F" w:rsidRPr="008C04C6">
        <w:t xml:space="preserve">raining </w:t>
      </w:r>
      <w:r w:rsidR="00A733CE" w:rsidRPr="008C04C6">
        <w:t>O</w:t>
      </w:r>
      <w:r w:rsidR="004C4A8F" w:rsidRPr="008C04C6">
        <w:t>rganisation</w:t>
      </w:r>
      <w:r w:rsidR="00A00030" w:rsidRPr="008C04C6">
        <w:t>s</w:t>
      </w:r>
      <w:r w:rsidR="00A733CE" w:rsidRPr="008C04C6">
        <w:t xml:space="preserve"> or comm</w:t>
      </w:r>
      <w:r w:rsidR="00A00030" w:rsidRPr="008C04C6">
        <w:t>unity adult learning facilities</w:t>
      </w:r>
      <w:r w:rsidR="00A733CE" w:rsidRPr="008C04C6">
        <w:t xml:space="preserve"> </w:t>
      </w:r>
    </w:p>
    <w:p w14:paraId="0A0FB3F9" w14:textId="52A417BA" w:rsidR="00A733CE" w:rsidRPr="008C04C6" w:rsidRDefault="00A00030" w:rsidP="008C04C6">
      <w:pPr>
        <w:pStyle w:val="ListParagraph"/>
      </w:pPr>
      <w:r w:rsidRPr="008C04C6">
        <w:t xml:space="preserve">promote the use of </w:t>
      </w:r>
      <w:r w:rsidR="00D85007" w:rsidRPr="008C04C6">
        <w:t>entry level</w:t>
      </w:r>
      <w:r w:rsidR="00A733CE" w:rsidRPr="008C04C6">
        <w:t xml:space="preserve"> cours</w:t>
      </w:r>
      <w:r w:rsidR="008B2E40" w:rsidRPr="008C04C6">
        <w:t>es to build up to higher level c</w:t>
      </w:r>
      <w:r w:rsidR="00A733CE" w:rsidRPr="008C04C6">
        <w:t>ertificate courses</w:t>
      </w:r>
      <w:r w:rsidR="008B2E40" w:rsidRPr="008C04C6">
        <w:t xml:space="preserve"> and strengthen existing skills</w:t>
      </w:r>
      <w:r w:rsidR="00EF513A" w:rsidRPr="008C04C6">
        <w:t>.</w:t>
      </w:r>
    </w:p>
    <w:p w14:paraId="0E14ECD0" w14:textId="7920902A" w:rsidR="00A733CE" w:rsidRPr="004F3C92" w:rsidRDefault="00A733CE" w:rsidP="008C04C6">
      <w:pPr>
        <w:pStyle w:val="Heading2"/>
      </w:pPr>
      <w:r w:rsidRPr="004F3C92">
        <w:t>Support to find a new job</w:t>
      </w:r>
    </w:p>
    <w:p w14:paraId="1273D84A" w14:textId="02B07423" w:rsidR="00A733CE" w:rsidRDefault="000F5782" w:rsidP="00A733CE">
      <w:pPr>
        <w:rPr>
          <w:b/>
          <w:sz w:val="24"/>
          <w:szCs w:val="24"/>
        </w:rPr>
      </w:pPr>
      <w:r>
        <w:t xml:space="preserve">Finding a new job </w:t>
      </w:r>
      <w:r w:rsidR="004229CC" w:rsidRPr="004229CC">
        <w:t>ca</w:t>
      </w:r>
      <w:r>
        <w:t>n be difficult</w:t>
      </w:r>
      <w:r w:rsidR="00170CC0">
        <w:t xml:space="preserve"> and can take some time to be successful</w:t>
      </w:r>
      <w:r w:rsidR="00B70FD4">
        <w:t xml:space="preserve">. Some </w:t>
      </w:r>
      <w:r w:rsidR="004229CC" w:rsidRPr="004229CC">
        <w:t>workers have not</w:t>
      </w:r>
      <w:r w:rsidR="00B70FD4">
        <w:t xml:space="preserve"> </w:t>
      </w:r>
      <w:r>
        <w:t xml:space="preserve">applied for a job </w:t>
      </w:r>
      <w:r w:rsidR="004229CC" w:rsidRPr="004229CC">
        <w:t xml:space="preserve">for </w:t>
      </w:r>
      <w:r w:rsidR="00A00030">
        <w:t>many</w:t>
      </w:r>
      <w:r w:rsidR="004229CC" w:rsidRPr="004229CC">
        <w:t xml:space="preserve"> years. Therefore, it is important workers </w:t>
      </w:r>
      <w:r w:rsidR="00170CC0">
        <w:t>feel</w:t>
      </w:r>
      <w:r w:rsidR="00170CC0" w:rsidRPr="004229CC">
        <w:t xml:space="preserve"> </w:t>
      </w:r>
      <w:r w:rsidR="004229CC" w:rsidRPr="004229CC">
        <w:t xml:space="preserve">supported in their search for a new job to avoid them </w:t>
      </w:r>
      <w:r>
        <w:t>becoming long term unemployed</w:t>
      </w:r>
      <w:r w:rsidR="00B70FD4">
        <w:t>.</w:t>
      </w:r>
      <w:r w:rsidR="004229CC" w:rsidRPr="004229CC">
        <w:t xml:space="preserve"> Employers can support workers </w:t>
      </w:r>
      <w:r>
        <w:t xml:space="preserve">in the search for new </w:t>
      </w:r>
      <w:r w:rsidR="00B70FD4">
        <w:t>jobs</w:t>
      </w:r>
      <w:r w:rsidR="004229CC" w:rsidRPr="004229CC">
        <w:t xml:space="preserve"> by </w:t>
      </w:r>
      <w:r w:rsidR="00B70FD4">
        <w:t>reaching out to</w:t>
      </w:r>
      <w:r w:rsidR="004229CC" w:rsidRPr="004229CC">
        <w:t xml:space="preserve"> their consumer </w:t>
      </w:r>
      <w:r w:rsidR="004229CC" w:rsidRPr="004229CC">
        <w:lastRenderedPageBreak/>
        <w:t>and supplier networks</w:t>
      </w:r>
      <w:r w:rsidR="00170CC0">
        <w:t xml:space="preserve"> to</w:t>
      </w:r>
      <w:r>
        <w:t xml:space="preserve"> promote job vacancies to </w:t>
      </w:r>
      <w:r w:rsidR="00170CC0">
        <w:t xml:space="preserve">their </w:t>
      </w:r>
      <w:r>
        <w:t xml:space="preserve">workers and </w:t>
      </w:r>
      <w:r w:rsidR="00170CC0">
        <w:t xml:space="preserve">the </w:t>
      </w:r>
      <w:r>
        <w:t>skills of their workers to potential new employers</w:t>
      </w:r>
      <w:r w:rsidR="00D20006">
        <w:t>.</w:t>
      </w:r>
    </w:p>
    <w:p w14:paraId="013D4EF3" w14:textId="27100B0E" w:rsidR="00A733CE" w:rsidRDefault="00EF1CAE" w:rsidP="008C04C6">
      <w:pPr>
        <w:pStyle w:val="Heading3"/>
      </w:pPr>
      <w:r w:rsidRPr="004F3C92">
        <w:t>How can I help employees find a new job</w:t>
      </w:r>
      <w:r w:rsidR="00A733CE" w:rsidRPr="004F3C92">
        <w:t>?</w:t>
      </w:r>
    </w:p>
    <w:p w14:paraId="2D84E856" w14:textId="20F0662A" w:rsidR="00DF2998" w:rsidRPr="00DF2998" w:rsidRDefault="00DF2998" w:rsidP="00DF2998">
      <w:r>
        <w:t>Employers could support workers in their job search in the following ways:</w:t>
      </w:r>
    </w:p>
    <w:p w14:paraId="280A7F5E" w14:textId="54EB7C7C" w:rsidR="00A733CE" w:rsidRPr="008C04C6" w:rsidRDefault="00844F24" w:rsidP="008C04C6">
      <w:pPr>
        <w:pStyle w:val="ListParagraph"/>
      </w:pPr>
      <w:r w:rsidRPr="008C04C6">
        <w:t>h</w:t>
      </w:r>
      <w:r w:rsidR="000F5782" w:rsidRPr="008C04C6">
        <w:t>ost a jobs information session on site or at a local community facility in partnership with local employers and RTOs</w:t>
      </w:r>
    </w:p>
    <w:p w14:paraId="3DD111E9" w14:textId="4CE44A4D" w:rsidR="00A733CE" w:rsidRPr="008C04C6" w:rsidRDefault="00844F24" w:rsidP="008C04C6">
      <w:pPr>
        <w:pStyle w:val="ListParagraph"/>
      </w:pPr>
      <w:r w:rsidRPr="008C04C6">
        <w:t>p</w:t>
      </w:r>
      <w:r w:rsidR="004F3C92" w:rsidRPr="008C04C6">
        <w:t xml:space="preserve">romote </w:t>
      </w:r>
      <w:r w:rsidR="00B17705" w:rsidRPr="008C04C6">
        <w:t xml:space="preserve">local </w:t>
      </w:r>
      <w:r w:rsidR="004F3C92" w:rsidRPr="008C04C6">
        <w:t>employment opportunities through a central</w:t>
      </w:r>
      <w:r w:rsidR="0009304D" w:rsidRPr="008C04C6">
        <w:t xml:space="preserve"> location</w:t>
      </w:r>
      <w:r w:rsidR="00A733CE" w:rsidRPr="008C04C6">
        <w:t xml:space="preserve"> such as a purpose built</w:t>
      </w:r>
      <w:r w:rsidR="00D0013A" w:rsidRPr="008C04C6">
        <w:t xml:space="preserve"> website, closed Facebook page </w:t>
      </w:r>
      <w:r w:rsidR="00A733CE" w:rsidRPr="008C04C6">
        <w:t>or jobs board</w:t>
      </w:r>
      <w:r w:rsidR="00170CC0" w:rsidRPr="008C04C6">
        <w:t xml:space="preserve"> or links to existing job sites</w:t>
      </w:r>
    </w:p>
    <w:p w14:paraId="23423F5C" w14:textId="01CB4998" w:rsidR="00A733CE" w:rsidRPr="008C04C6" w:rsidRDefault="00844F24" w:rsidP="008C04C6">
      <w:pPr>
        <w:pStyle w:val="ListParagraph"/>
      </w:pPr>
      <w:r w:rsidRPr="008C04C6">
        <w:t>i</w:t>
      </w:r>
      <w:r w:rsidR="00A733CE" w:rsidRPr="008C04C6">
        <w:t xml:space="preserve">nvite local businesses </w:t>
      </w:r>
      <w:r w:rsidR="0009304D" w:rsidRPr="008C04C6">
        <w:t xml:space="preserve">who are recruiting to present </w:t>
      </w:r>
      <w:r w:rsidR="00B17705" w:rsidRPr="008C04C6">
        <w:t xml:space="preserve">to your workers </w:t>
      </w:r>
      <w:r w:rsidR="00A733CE" w:rsidRPr="008C04C6">
        <w:t>about the jobs available and how to apply</w:t>
      </w:r>
    </w:p>
    <w:p w14:paraId="6143D81D" w14:textId="1ECCA9E2" w:rsidR="00A733CE" w:rsidRPr="008C04C6" w:rsidRDefault="00844F24" w:rsidP="008C04C6">
      <w:pPr>
        <w:pStyle w:val="ListParagraph"/>
      </w:pPr>
      <w:r w:rsidRPr="008C04C6">
        <w:t>c</w:t>
      </w:r>
      <w:r w:rsidR="00B17705" w:rsidRPr="008C04C6">
        <w:t>onnect with i</w:t>
      </w:r>
      <w:r w:rsidR="00A733CE" w:rsidRPr="008C04C6">
        <w:t>ndustry peak bodies</w:t>
      </w:r>
      <w:r w:rsidR="00B17705" w:rsidRPr="008C04C6">
        <w:t xml:space="preserve"> such as the Chamber of Commerce</w:t>
      </w:r>
      <w:r w:rsidR="00A733CE" w:rsidRPr="008C04C6">
        <w:t xml:space="preserve"> to identify employers and sectors that are recruiting and interested in the skills sets of </w:t>
      </w:r>
      <w:r w:rsidR="00B17705" w:rsidRPr="008C04C6">
        <w:t>your</w:t>
      </w:r>
      <w:r w:rsidR="00A733CE" w:rsidRPr="008C04C6">
        <w:t xml:space="preserve"> employees</w:t>
      </w:r>
    </w:p>
    <w:p w14:paraId="4106701D" w14:textId="3B98FF62" w:rsidR="00E62930" w:rsidRPr="008C04C6" w:rsidRDefault="00844F24" w:rsidP="008C04C6">
      <w:pPr>
        <w:pStyle w:val="ListParagraph"/>
      </w:pPr>
      <w:r w:rsidRPr="008C04C6">
        <w:t>p</w:t>
      </w:r>
      <w:r w:rsidR="00B17705" w:rsidRPr="008C04C6">
        <w:t>romote</w:t>
      </w:r>
      <w:r w:rsidR="00E62930" w:rsidRPr="008C04C6">
        <w:t xml:space="preserve"> local employers who may be willing to provide work experience opportunities</w:t>
      </w:r>
      <w:r w:rsidR="00D85007" w:rsidRPr="008C04C6">
        <w:t xml:space="preserve"> to try out new careers</w:t>
      </w:r>
    </w:p>
    <w:p w14:paraId="336C6F15" w14:textId="20264701" w:rsidR="00E62930" w:rsidRPr="008C04C6" w:rsidRDefault="00844F24" w:rsidP="008C04C6">
      <w:pPr>
        <w:pStyle w:val="ListParagraph"/>
      </w:pPr>
      <w:r w:rsidRPr="008C04C6">
        <w:t>p</w:t>
      </w:r>
      <w:r w:rsidR="00B17705" w:rsidRPr="008C04C6">
        <w:t>romote/provide advice on</w:t>
      </w:r>
      <w:r w:rsidR="00E62930" w:rsidRPr="008C04C6">
        <w:t xml:space="preserve"> recruitment agencies/jobactive providers that specialise in placements to industries the employee</w:t>
      </w:r>
      <w:r w:rsidR="00B17705" w:rsidRPr="008C04C6">
        <w:t>s are</w:t>
      </w:r>
      <w:r w:rsidR="00E62930" w:rsidRPr="008C04C6">
        <w:t xml:space="preserve"> interested in.</w:t>
      </w:r>
    </w:p>
    <w:p w14:paraId="52AB734C" w14:textId="15490473" w:rsidR="0041273B" w:rsidRPr="00844F24" w:rsidRDefault="00E52481" w:rsidP="008C04C6">
      <w:pPr>
        <w:pStyle w:val="Heading2"/>
      </w:pPr>
      <w:r>
        <w:t>Tips for disengaged workers</w:t>
      </w:r>
      <w:r w:rsidR="0041273B" w:rsidRPr="00844F24">
        <w:t xml:space="preserve"> </w:t>
      </w:r>
    </w:p>
    <w:p w14:paraId="2B588EFF" w14:textId="0FEEBC85" w:rsidR="00E62930" w:rsidRDefault="00E62930" w:rsidP="00E62930">
      <w:pPr>
        <w:rPr>
          <w:lang w:eastAsia="en-AU"/>
        </w:rPr>
      </w:pPr>
      <w:r>
        <w:rPr>
          <w:lang w:eastAsia="en-AU"/>
        </w:rPr>
        <w:t>Retrenchment is a difficult time and some workers may find it more difficult tha</w:t>
      </w:r>
      <w:r w:rsidR="00BF7575">
        <w:rPr>
          <w:lang w:eastAsia="en-AU"/>
        </w:rPr>
        <w:t>n their colleagues. E</w:t>
      </w:r>
      <w:r>
        <w:rPr>
          <w:lang w:eastAsia="en-AU"/>
        </w:rPr>
        <w:t xml:space="preserve">mployers may want to ensure those workers who appear disengaged </w:t>
      </w:r>
      <w:r w:rsidR="00170CC0">
        <w:rPr>
          <w:lang w:eastAsia="en-AU"/>
        </w:rPr>
        <w:t xml:space="preserve">or stressed </w:t>
      </w:r>
      <w:r>
        <w:rPr>
          <w:lang w:eastAsia="en-AU"/>
        </w:rPr>
        <w:t>are r</w:t>
      </w:r>
      <w:r w:rsidR="00D20006">
        <w:rPr>
          <w:lang w:eastAsia="en-AU"/>
        </w:rPr>
        <w:t>eceiving the support they need.</w:t>
      </w:r>
    </w:p>
    <w:p w14:paraId="024B0017" w14:textId="737A6EB5" w:rsidR="00E62930" w:rsidRDefault="00E62930" w:rsidP="00E62930">
      <w:pPr>
        <w:rPr>
          <w:lang w:eastAsia="en-AU"/>
        </w:rPr>
      </w:pPr>
      <w:r>
        <w:rPr>
          <w:lang w:eastAsia="en-AU"/>
        </w:rPr>
        <w:t xml:space="preserve">Employers could </w:t>
      </w:r>
      <w:r w:rsidR="006C7402">
        <w:rPr>
          <w:lang w:eastAsia="en-AU"/>
        </w:rPr>
        <w:t xml:space="preserve">try to </w:t>
      </w:r>
      <w:r>
        <w:rPr>
          <w:lang w:eastAsia="en-AU"/>
        </w:rPr>
        <w:t xml:space="preserve">connect with disengaged workers </w:t>
      </w:r>
      <w:r w:rsidR="006C7402">
        <w:rPr>
          <w:lang w:eastAsia="en-AU"/>
        </w:rPr>
        <w:t>in a number of ways:</w:t>
      </w:r>
      <w:r>
        <w:rPr>
          <w:lang w:eastAsia="en-AU"/>
        </w:rPr>
        <w:t xml:space="preserve"> </w:t>
      </w:r>
    </w:p>
    <w:p w14:paraId="16730FC4" w14:textId="1DFA9CE4" w:rsidR="0041273B" w:rsidRPr="008C04C6" w:rsidRDefault="006C7402" w:rsidP="008C04C6">
      <w:pPr>
        <w:pStyle w:val="ListParagraph"/>
      </w:pPr>
      <w:r w:rsidRPr="008C04C6">
        <w:t>have a confidential discussion about their</w:t>
      </w:r>
      <w:r w:rsidR="002C704C" w:rsidRPr="008C04C6">
        <w:t xml:space="preserve"> </w:t>
      </w:r>
      <w:r w:rsidR="00170CC0" w:rsidRPr="008C04C6">
        <w:t>next steps after retrenchment</w:t>
      </w:r>
      <w:r w:rsidRPr="008C04C6">
        <w:t xml:space="preserve"> </w:t>
      </w:r>
    </w:p>
    <w:p w14:paraId="22B27877" w14:textId="7D4A9F69" w:rsidR="0041273B" w:rsidRPr="008C04C6" w:rsidRDefault="00B17705" w:rsidP="008C04C6">
      <w:pPr>
        <w:pStyle w:val="ListParagraph"/>
      </w:pPr>
      <w:r w:rsidRPr="008C04C6">
        <w:t xml:space="preserve">consider </w:t>
      </w:r>
      <w:r w:rsidR="0041273B" w:rsidRPr="008C04C6">
        <w:t>locations for support that are not related to the workplace</w:t>
      </w:r>
      <w:r w:rsidRPr="008C04C6">
        <w:t xml:space="preserve"> such as</w:t>
      </w:r>
      <w:r w:rsidR="00BF7575" w:rsidRPr="008C04C6">
        <w:t xml:space="preserve"> </w:t>
      </w:r>
      <w:r w:rsidR="0041273B" w:rsidRPr="008C04C6">
        <w:t>community support agencies</w:t>
      </w:r>
    </w:p>
    <w:p w14:paraId="33C43E61" w14:textId="3BC53202" w:rsidR="0041273B" w:rsidRPr="008C04C6" w:rsidRDefault="00BF7575" w:rsidP="008C04C6">
      <w:pPr>
        <w:pStyle w:val="ListParagraph"/>
      </w:pPr>
      <w:r w:rsidRPr="008C04C6">
        <w:t>e</w:t>
      </w:r>
      <w:r w:rsidR="0041273B" w:rsidRPr="008C04C6">
        <w:t>ncourage attendance of pa</w:t>
      </w:r>
      <w:r w:rsidR="006C7402" w:rsidRPr="008C04C6">
        <w:t xml:space="preserve">rtners </w:t>
      </w:r>
      <w:r w:rsidR="00E52481" w:rsidRPr="008C04C6">
        <w:t xml:space="preserve">or family members </w:t>
      </w:r>
      <w:r w:rsidR="006C7402" w:rsidRPr="008C04C6">
        <w:t>at information sessions</w:t>
      </w:r>
    </w:p>
    <w:p w14:paraId="0A99DE37" w14:textId="1D96F0F6" w:rsidR="0041273B" w:rsidRPr="008C04C6" w:rsidRDefault="00BF7575" w:rsidP="008C04C6">
      <w:pPr>
        <w:pStyle w:val="ListParagraph"/>
      </w:pPr>
      <w:r w:rsidRPr="008C04C6">
        <w:t>o</w:t>
      </w:r>
      <w:r w:rsidR="0041273B" w:rsidRPr="008C04C6">
        <w:t xml:space="preserve">ffer referral to </w:t>
      </w:r>
      <w:r w:rsidR="00502CD6" w:rsidRPr="008C04C6">
        <w:t xml:space="preserve">work sponsored </w:t>
      </w:r>
      <w:r w:rsidR="0041273B" w:rsidRPr="008C04C6">
        <w:t xml:space="preserve">counselling </w:t>
      </w:r>
      <w:r w:rsidR="00502CD6" w:rsidRPr="008C04C6">
        <w:t xml:space="preserve">such as Employee Assistance Programs </w:t>
      </w:r>
      <w:r w:rsidR="0041273B" w:rsidRPr="008C04C6">
        <w:t xml:space="preserve">to </w:t>
      </w:r>
      <w:r w:rsidR="00B17705" w:rsidRPr="008C04C6">
        <w:t>ensure workers are well supported; including the</w:t>
      </w:r>
      <w:r w:rsidR="00E52481" w:rsidRPr="008C04C6">
        <w:t>ir</w:t>
      </w:r>
      <w:r w:rsidR="00B17705" w:rsidRPr="008C04C6">
        <w:t xml:space="preserve"> health and wellbeing</w:t>
      </w:r>
    </w:p>
    <w:p w14:paraId="4BEEA8B0" w14:textId="28EFBD84" w:rsidR="0041273B" w:rsidRPr="008C04C6" w:rsidRDefault="00BF7575" w:rsidP="008C04C6">
      <w:pPr>
        <w:pStyle w:val="ListParagraph"/>
      </w:pPr>
      <w:r w:rsidRPr="008C04C6">
        <w:t>u</w:t>
      </w:r>
      <w:r w:rsidR="0041273B" w:rsidRPr="008C04C6">
        <w:t>se local culturally relevant community support groups</w:t>
      </w:r>
      <w:r w:rsidR="00E52481" w:rsidRPr="008C04C6">
        <w:t>,</w:t>
      </w:r>
      <w:r w:rsidR="0041273B" w:rsidRPr="008C04C6">
        <w:t xml:space="preserve"> interpreters</w:t>
      </w:r>
      <w:r w:rsidR="002C704C" w:rsidRPr="008C04C6">
        <w:t xml:space="preserve"> etc.</w:t>
      </w:r>
      <w:r w:rsidR="0041273B" w:rsidRPr="008C04C6">
        <w:t xml:space="preserve"> </w:t>
      </w:r>
      <w:r w:rsidR="00B17705" w:rsidRPr="008C04C6">
        <w:t>for workers with English as a second language.</w:t>
      </w:r>
    </w:p>
    <w:p w14:paraId="4075D3B4" w14:textId="44C1BE9B" w:rsidR="00A733CE" w:rsidRPr="004F3C92" w:rsidRDefault="00A733CE" w:rsidP="008C04C6">
      <w:pPr>
        <w:pStyle w:val="Heading1"/>
        <w:rPr>
          <w:noProof/>
          <w:lang w:eastAsia="en-AU"/>
        </w:rPr>
      </w:pPr>
      <w:r w:rsidRPr="004F3C92">
        <w:rPr>
          <w:noProof/>
          <w:lang w:eastAsia="en-AU"/>
        </w:rPr>
        <w:t>Where</w:t>
      </w:r>
      <w:r w:rsidR="005216A7" w:rsidRPr="004F3C92">
        <w:rPr>
          <w:noProof/>
          <w:lang w:eastAsia="en-AU"/>
        </w:rPr>
        <w:t xml:space="preserve"> can I get more information?</w:t>
      </w:r>
      <w:r w:rsidRPr="004F3C92">
        <w:rPr>
          <w:noProof/>
          <w:lang w:eastAsia="en-AU"/>
        </w:rPr>
        <w:t xml:space="preserve"> </w:t>
      </w:r>
    </w:p>
    <w:p w14:paraId="7B5B1844" w14:textId="464B854D" w:rsidR="00207E01" w:rsidRPr="005A108E" w:rsidRDefault="00E62930" w:rsidP="00A733CE">
      <w:pPr>
        <w:rPr>
          <w:b/>
        </w:rPr>
      </w:pPr>
      <w:r>
        <w:rPr>
          <w:noProof/>
          <w:lang w:eastAsia="en-AU"/>
        </w:rPr>
        <w:t xml:space="preserve">For more information please visit - </w:t>
      </w:r>
      <w:hyperlink r:id="rId9" w:history="1">
        <w:r w:rsidRPr="00D73663">
          <w:rPr>
            <w:rStyle w:val="Hyperlink"/>
            <w:noProof/>
            <w:lang w:eastAsia="en-AU"/>
          </w:rPr>
          <w:t>https://whatsnext.jobs.gov.au/</w:t>
        </w:r>
      </w:hyperlink>
      <w:r>
        <w:rPr>
          <w:noProof/>
          <w:lang w:eastAsia="en-AU"/>
        </w:rPr>
        <w:t xml:space="preserve"> </w:t>
      </w:r>
      <w:r w:rsidR="005A108E">
        <w:rPr>
          <w:noProof/>
          <w:lang w:eastAsia="en-AU"/>
        </w:rPr>
        <w:t xml:space="preserve">or contact </w:t>
      </w:r>
      <w:r w:rsidR="00502CD6">
        <w:rPr>
          <w:noProof/>
          <w:lang w:eastAsia="en-AU"/>
        </w:rPr>
        <w:t xml:space="preserve">the Australian Government Department of Jobs and Small Business at </w:t>
      </w:r>
      <w:hyperlink r:id="rId10" w:history="1">
        <w:r w:rsidR="005A108E">
          <w:rPr>
            <w:rStyle w:val="Hyperlink"/>
          </w:rPr>
          <w:t>retrenchment@jobs.gov.au</w:t>
        </w:r>
      </w:hyperlink>
      <w:r w:rsidR="005A108E">
        <w:rPr>
          <w:color w:val="1F497D"/>
        </w:rPr>
        <w:t>.</w:t>
      </w:r>
    </w:p>
    <w:sectPr w:rsidR="00207E01" w:rsidRPr="005A108E" w:rsidSect="00736535">
      <w:footerReference w:type="default" r:id="rId11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32F90" w14:textId="77777777" w:rsidR="00736535" w:rsidRDefault="00736535" w:rsidP="00436BFF">
      <w:pPr>
        <w:spacing w:after="0" w:line="240" w:lineRule="auto"/>
      </w:pPr>
      <w:r>
        <w:separator/>
      </w:r>
    </w:p>
  </w:endnote>
  <w:endnote w:type="continuationSeparator" w:id="0">
    <w:p w14:paraId="5F6502F7" w14:textId="77777777" w:rsidR="00736535" w:rsidRDefault="00736535" w:rsidP="00436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02819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02B1B" w14:textId="09166EE6" w:rsidR="00736535" w:rsidRDefault="007365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4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E203DD" w14:textId="77777777" w:rsidR="00736535" w:rsidRDefault="00736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D70FE" w14:textId="77777777" w:rsidR="00736535" w:rsidRDefault="00736535" w:rsidP="00436BFF">
      <w:pPr>
        <w:spacing w:after="0" w:line="240" w:lineRule="auto"/>
      </w:pPr>
      <w:r>
        <w:separator/>
      </w:r>
    </w:p>
  </w:footnote>
  <w:footnote w:type="continuationSeparator" w:id="0">
    <w:p w14:paraId="79C9F39E" w14:textId="77777777" w:rsidR="00736535" w:rsidRDefault="00736535" w:rsidP="00436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DEC"/>
    <w:multiLevelType w:val="hybridMultilevel"/>
    <w:tmpl w:val="6A68825E"/>
    <w:lvl w:ilvl="0" w:tplc="BB5892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C10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71E295D"/>
    <w:multiLevelType w:val="hybridMultilevel"/>
    <w:tmpl w:val="FFECA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42F0"/>
    <w:multiLevelType w:val="multilevel"/>
    <w:tmpl w:val="442CB1B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FC21533"/>
    <w:multiLevelType w:val="hybridMultilevel"/>
    <w:tmpl w:val="AC048FA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13C99"/>
    <w:multiLevelType w:val="hybridMultilevel"/>
    <w:tmpl w:val="DFCE97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441EB"/>
    <w:multiLevelType w:val="hybridMultilevel"/>
    <w:tmpl w:val="FDFA1E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A7CD43C">
      <w:start w:val="1"/>
      <w:numFmt w:val="bullet"/>
      <w:pStyle w:val="ListParagraph"/>
      <w:lvlText w:val=""/>
      <w:lvlJc w:val="left"/>
      <w:pPr>
        <w:ind w:left="1080" w:hanging="360"/>
      </w:pPr>
      <w:rPr>
        <w:rFonts w:ascii="Wingdings 3" w:hAnsi="Wingdings 3" w:hint="default"/>
        <w:color w:val="ED7D31" w:themeColor="accent2"/>
        <w:u w:color="FFFFFF" w:themeColor="background1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BC69EA"/>
    <w:multiLevelType w:val="hybridMultilevel"/>
    <w:tmpl w:val="4BB49C00"/>
    <w:lvl w:ilvl="0" w:tplc="43208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560F5"/>
    <w:multiLevelType w:val="hybridMultilevel"/>
    <w:tmpl w:val="3D94B5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4D7"/>
    <w:multiLevelType w:val="hybridMultilevel"/>
    <w:tmpl w:val="767A91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EC11F2"/>
    <w:multiLevelType w:val="hybridMultilevel"/>
    <w:tmpl w:val="2AA69C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726B1C">
      <w:start w:val="1"/>
      <w:numFmt w:val="bullet"/>
      <w:lvlText w:val="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D6220D"/>
    <w:multiLevelType w:val="hybridMultilevel"/>
    <w:tmpl w:val="68923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24110"/>
    <w:multiLevelType w:val="hybridMultilevel"/>
    <w:tmpl w:val="5188430C"/>
    <w:lvl w:ilvl="0" w:tplc="967204DA">
      <w:start w:val="1"/>
      <w:numFmt w:val="decimal"/>
      <w:pStyle w:val="Heading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27D65"/>
    <w:multiLevelType w:val="hybridMultilevel"/>
    <w:tmpl w:val="C60AE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E2EB7"/>
    <w:multiLevelType w:val="hybridMultilevel"/>
    <w:tmpl w:val="9216E4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254CA"/>
    <w:multiLevelType w:val="hybridMultilevel"/>
    <w:tmpl w:val="DAAC80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51A11"/>
    <w:multiLevelType w:val="hybridMultilevel"/>
    <w:tmpl w:val="711A53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4"/>
  </w:num>
  <w:num w:numId="4">
    <w:abstractNumId w:val="5"/>
  </w:num>
  <w:num w:numId="5">
    <w:abstractNumId w:val="15"/>
  </w:num>
  <w:num w:numId="6">
    <w:abstractNumId w:val="2"/>
  </w:num>
  <w:num w:numId="7">
    <w:abstractNumId w:val="11"/>
  </w:num>
  <w:num w:numId="8">
    <w:abstractNumId w:val="13"/>
  </w:num>
  <w:num w:numId="9">
    <w:abstractNumId w:val="7"/>
  </w:num>
  <w:num w:numId="10">
    <w:abstractNumId w:val="4"/>
  </w:num>
  <w:num w:numId="11">
    <w:abstractNumId w:val="0"/>
  </w:num>
  <w:num w:numId="12">
    <w:abstractNumId w:val="16"/>
  </w:num>
  <w:num w:numId="13">
    <w:abstractNumId w:val="1"/>
  </w:num>
  <w:num w:numId="14">
    <w:abstractNumId w:val="3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B"/>
    <w:rsid w:val="0001470D"/>
    <w:rsid w:val="00030C98"/>
    <w:rsid w:val="0009304D"/>
    <w:rsid w:val="000A29EB"/>
    <w:rsid w:val="000C179D"/>
    <w:rsid w:val="000C68A1"/>
    <w:rsid w:val="000D58E4"/>
    <w:rsid w:val="000D6D04"/>
    <w:rsid w:val="000F0469"/>
    <w:rsid w:val="000F5782"/>
    <w:rsid w:val="00104A81"/>
    <w:rsid w:val="0011535B"/>
    <w:rsid w:val="00131DCC"/>
    <w:rsid w:val="00150282"/>
    <w:rsid w:val="00170CC0"/>
    <w:rsid w:val="00177534"/>
    <w:rsid w:val="00186A03"/>
    <w:rsid w:val="001B0F96"/>
    <w:rsid w:val="001C31CC"/>
    <w:rsid w:val="001D065D"/>
    <w:rsid w:val="00207E01"/>
    <w:rsid w:val="00231D8D"/>
    <w:rsid w:val="0024714E"/>
    <w:rsid w:val="00267247"/>
    <w:rsid w:val="00275DAE"/>
    <w:rsid w:val="002B4132"/>
    <w:rsid w:val="002C704C"/>
    <w:rsid w:val="003041CD"/>
    <w:rsid w:val="003210C5"/>
    <w:rsid w:val="00351290"/>
    <w:rsid w:val="00365F8F"/>
    <w:rsid w:val="003F06E6"/>
    <w:rsid w:val="00400AAA"/>
    <w:rsid w:val="00412382"/>
    <w:rsid w:val="0041273B"/>
    <w:rsid w:val="004229CC"/>
    <w:rsid w:val="004275AC"/>
    <w:rsid w:val="00436BFF"/>
    <w:rsid w:val="004A27E8"/>
    <w:rsid w:val="004A69F2"/>
    <w:rsid w:val="004C4A8F"/>
    <w:rsid w:val="004D36B6"/>
    <w:rsid w:val="004D72B7"/>
    <w:rsid w:val="004F22D2"/>
    <w:rsid w:val="004F29DC"/>
    <w:rsid w:val="004F3C92"/>
    <w:rsid w:val="00501791"/>
    <w:rsid w:val="00502CD6"/>
    <w:rsid w:val="00504D7D"/>
    <w:rsid w:val="005216A7"/>
    <w:rsid w:val="0052425E"/>
    <w:rsid w:val="005332C6"/>
    <w:rsid w:val="005351E5"/>
    <w:rsid w:val="00547852"/>
    <w:rsid w:val="00575F31"/>
    <w:rsid w:val="005A108E"/>
    <w:rsid w:val="005A391B"/>
    <w:rsid w:val="005A5770"/>
    <w:rsid w:val="005D559B"/>
    <w:rsid w:val="005F2347"/>
    <w:rsid w:val="00614B70"/>
    <w:rsid w:val="00640D2C"/>
    <w:rsid w:val="006430EE"/>
    <w:rsid w:val="00647CA0"/>
    <w:rsid w:val="00671918"/>
    <w:rsid w:val="006747EB"/>
    <w:rsid w:val="00692A32"/>
    <w:rsid w:val="006975EA"/>
    <w:rsid w:val="006B39EB"/>
    <w:rsid w:val="006B5D80"/>
    <w:rsid w:val="006C7402"/>
    <w:rsid w:val="006F54CE"/>
    <w:rsid w:val="00736535"/>
    <w:rsid w:val="00741909"/>
    <w:rsid w:val="00773438"/>
    <w:rsid w:val="00780AA8"/>
    <w:rsid w:val="00783827"/>
    <w:rsid w:val="007A12D6"/>
    <w:rsid w:val="007A517C"/>
    <w:rsid w:val="00811D8A"/>
    <w:rsid w:val="00844F24"/>
    <w:rsid w:val="00863006"/>
    <w:rsid w:val="00874B15"/>
    <w:rsid w:val="008911BA"/>
    <w:rsid w:val="00897351"/>
    <w:rsid w:val="008A2C4C"/>
    <w:rsid w:val="008B2E40"/>
    <w:rsid w:val="008C04C6"/>
    <w:rsid w:val="008C5DF3"/>
    <w:rsid w:val="008C66EF"/>
    <w:rsid w:val="008D0FE1"/>
    <w:rsid w:val="008F75A3"/>
    <w:rsid w:val="00942738"/>
    <w:rsid w:val="009456E7"/>
    <w:rsid w:val="00973323"/>
    <w:rsid w:val="009D4455"/>
    <w:rsid w:val="009D67F7"/>
    <w:rsid w:val="00A00030"/>
    <w:rsid w:val="00A03D32"/>
    <w:rsid w:val="00A27848"/>
    <w:rsid w:val="00A733CE"/>
    <w:rsid w:val="00A735DB"/>
    <w:rsid w:val="00AB18F8"/>
    <w:rsid w:val="00AD2B99"/>
    <w:rsid w:val="00AD779D"/>
    <w:rsid w:val="00AE4666"/>
    <w:rsid w:val="00B0604A"/>
    <w:rsid w:val="00B17705"/>
    <w:rsid w:val="00B43F13"/>
    <w:rsid w:val="00B705CE"/>
    <w:rsid w:val="00B70FD4"/>
    <w:rsid w:val="00BB5B16"/>
    <w:rsid w:val="00BC0FF0"/>
    <w:rsid w:val="00BF7575"/>
    <w:rsid w:val="00C40B5F"/>
    <w:rsid w:val="00C45E0C"/>
    <w:rsid w:val="00D0013A"/>
    <w:rsid w:val="00D020B0"/>
    <w:rsid w:val="00D15A5E"/>
    <w:rsid w:val="00D20006"/>
    <w:rsid w:val="00D22E27"/>
    <w:rsid w:val="00D72619"/>
    <w:rsid w:val="00D85007"/>
    <w:rsid w:val="00DC6C2C"/>
    <w:rsid w:val="00DD3357"/>
    <w:rsid w:val="00DE473C"/>
    <w:rsid w:val="00DE5869"/>
    <w:rsid w:val="00DF02E9"/>
    <w:rsid w:val="00DF2998"/>
    <w:rsid w:val="00DF646E"/>
    <w:rsid w:val="00DF6B20"/>
    <w:rsid w:val="00E4232E"/>
    <w:rsid w:val="00E52481"/>
    <w:rsid w:val="00E57462"/>
    <w:rsid w:val="00E62930"/>
    <w:rsid w:val="00E80BA6"/>
    <w:rsid w:val="00EE0EB9"/>
    <w:rsid w:val="00EF1CAE"/>
    <w:rsid w:val="00EF513A"/>
    <w:rsid w:val="00F05B79"/>
    <w:rsid w:val="00F156C4"/>
    <w:rsid w:val="00F43271"/>
    <w:rsid w:val="00FC10F5"/>
    <w:rsid w:val="00FE4A39"/>
    <w:rsid w:val="00FF2DB5"/>
    <w:rsid w:val="00FF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8126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04C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008080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C04C6"/>
    <w:pPr>
      <w:numPr>
        <w:numId w:val="17"/>
      </w:numPr>
      <w:pBdr>
        <w:bottom w:val="single" w:sz="4" w:space="1" w:color="008080"/>
      </w:pBdr>
      <w:ind w:left="357" w:hanging="357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4C6"/>
    <w:pPr>
      <w:keepNext/>
      <w:keepLines/>
      <w:spacing w:before="360" w:after="80" w:line="240" w:lineRule="auto"/>
      <w:outlineLvl w:val="2"/>
    </w:pPr>
    <w:rPr>
      <w:rFonts w:ascii="Arial Narrow" w:eastAsiaTheme="majorEastAsia" w:hAnsi="Arial Narrow" w:cstheme="majorBidi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4C6"/>
    <w:pPr>
      <w:numPr>
        <w:ilvl w:val="1"/>
        <w:numId w:val="16"/>
      </w:numPr>
      <w:spacing w:after="200" w:line="276" w:lineRule="auto"/>
      <w:ind w:left="425" w:hanging="425"/>
      <w:contextualSpacing/>
    </w:pPr>
    <w:rPr>
      <w:noProof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A733C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3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C04C6"/>
    <w:rPr>
      <w:rFonts w:asciiTheme="majorHAnsi" w:eastAsiaTheme="majorEastAsia" w:hAnsiTheme="majorHAnsi" w:cstheme="majorBidi"/>
      <w:color w:val="00808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04C6"/>
    <w:rPr>
      <w:rFonts w:asciiTheme="majorHAnsi" w:eastAsiaTheme="majorEastAsia" w:hAnsiTheme="majorHAnsi" w:cstheme="majorBidi"/>
      <w:b/>
      <w:color w:val="00808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36535"/>
    <w:pPr>
      <w:spacing w:before="240" w:after="240" w:line="240" w:lineRule="auto"/>
      <w:jc w:val="center"/>
    </w:pPr>
    <w:rPr>
      <w:rFonts w:asciiTheme="majorHAnsi" w:eastAsiaTheme="majorEastAsia" w:hAnsiTheme="majorHAnsi" w:cstheme="majorBidi"/>
      <w:color w:val="008080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535"/>
    <w:rPr>
      <w:rFonts w:asciiTheme="majorHAnsi" w:eastAsiaTheme="majorEastAsia" w:hAnsiTheme="majorHAnsi" w:cstheme="majorBidi"/>
      <w:color w:val="008080"/>
      <w:spacing w:val="-10"/>
      <w:kern w:val="28"/>
      <w:sz w:val="40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0094273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273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2738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E4A39"/>
    <w:pPr>
      <w:spacing w:after="100"/>
      <w:ind w:left="220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6B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BFF"/>
  </w:style>
  <w:style w:type="paragraph" w:styleId="Footer">
    <w:name w:val="footer"/>
    <w:basedOn w:val="Normal"/>
    <w:link w:val="FooterChar"/>
    <w:uiPriority w:val="99"/>
    <w:unhideWhenUsed/>
    <w:rsid w:val="00436B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BFF"/>
  </w:style>
  <w:style w:type="character" w:styleId="FollowedHyperlink">
    <w:name w:val="FollowedHyperlink"/>
    <w:basedOn w:val="DefaultParagraphFont"/>
    <w:uiPriority w:val="99"/>
    <w:semiHidden/>
    <w:unhideWhenUsed/>
    <w:rsid w:val="005A108E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770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C04C6"/>
    <w:rPr>
      <w:rFonts w:ascii="Arial Narrow" w:eastAsiaTheme="majorEastAsia" w:hAnsi="Arial Narrow" w:cstheme="majorBid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etrenchment@jobs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hatsnext.jobs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56035-EF17-40AA-9067-C5FA1D04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53044D4F.dotm</Template>
  <TotalTime>0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Practice in Socially Responsible Restructuring</vt:lpstr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Practice in Socially Responsible Restructuring</dc:title>
  <dc:subject/>
  <dc:creator/>
  <cp:keywords/>
  <dc:description/>
  <cp:lastModifiedBy/>
  <cp:revision>1</cp:revision>
  <dcterms:created xsi:type="dcterms:W3CDTF">2018-10-07T22:34:00Z</dcterms:created>
  <dcterms:modified xsi:type="dcterms:W3CDTF">2018-10-07T22:51:00Z</dcterms:modified>
</cp:coreProperties>
</file>